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rsidR="00134556" w:rsidRPr="00BA1F6C" w:rsidP="00134556">
      <w:pPr>
        <w:tabs>
          <w:tab w:val="left" w:pos="708"/>
        </w:tabs>
        <w:snapToGrid w:val="0"/>
        <w:spacing w:line="240" w:lineRule="auto"/>
        <w:jc w:val="center"/>
        <w:rPr>
          <w:rFonts w:ascii="Arial" w:hAnsi="Arial" w:cs="Arial"/>
          <w:b/>
          <w:bCs/>
          <w:sz w:val="24"/>
          <w:szCs w:val="24"/>
          <w:u w:val="single"/>
          <w:lang w:val="en-GB"/>
        </w:rPr>
      </w:pPr>
      <w:r w:rsidRPr="00BA1F6C">
        <w:rPr>
          <w:rFonts w:ascii="Arial" w:hAnsi="Arial" w:cs="Arial"/>
          <w:b/>
          <w:bCs/>
          <w:caps/>
          <w:sz w:val="24"/>
          <w:szCs w:val="24"/>
          <w:u w:val="single"/>
          <w:lang w:val="en-GB"/>
        </w:rPr>
        <w:t>Summary of Product Characteristics</w:t>
      </w:r>
    </w:p>
    <w:p w:rsidR="00134556" w:rsidP="00134556">
      <w:pPr>
        <w:tabs>
          <w:tab w:val="left" w:pos="708"/>
        </w:tabs>
        <w:snapToGrid w:val="0"/>
        <w:spacing w:line="240" w:lineRule="auto"/>
        <w:jc w:val="center"/>
        <w:rPr>
          <w:rFonts w:ascii="Arial" w:hAnsi="Arial" w:cs="Arial"/>
          <w:sz w:val="24"/>
          <w:szCs w:val="24"/>
          <w:lang w:val="en-GB"/>
        </w:rPr>
      </w:pPr>
    </w:p>
    <w:p w:rsidR="00D14589" w:rsidRPr="00BA1F6C" w:rsidP="00134556">
      <w:pPr>
        <w:tabs>
          <w:tab w:val="left" w:pos="708"/>
        </w:tabs>
        <w:snapToGrid w:val="0"/>
        <w:spacing w:line="240" w:lineRule="auto"/>
        <w:jc w:val="center"/>
        <w:rPr>
          <w:rFonts w:ascii="Arial" w:hAnsi="Arial" w:cs="Arial"/>
          <w:sz w:val="24"/>
          <w:szCs w:val="24"/>
          <w:lang w:val="en-GB"/>
        </w:rPr>
      </w:pPr>
    </w:p>
    <w:p w:rsidR="00BA1F6C" w:rsidRPr="00BA1F6C" w:rsidP="00BA1F6C">
      <w:pPr>
        <w:pStyle w:val="Heading2"/>
        <w:spacing w:before="0" w:after="120" w:line="240" w:lineRule="auto"/>
        <w:ind w:left="425" w:hanging="425"/>
        <w:rPr>
          <w:rFonts w:ascii="Arial" w:hAnsi="Arial" w:cs="Arial"/>
          <w:sz w:val="24"/>
          <w:szCs w:val="24"/>
          <w:lang w:val="en-GB"/>
        </w:rPr>
      </w:pPr>
      <w:r w:rsidRPr="00BA1F6C">
        <w:rPr>
          <w:rFonts w:ascii="Arial" w:hAnsi="Arial" w:cs="Arial"/>
          <w:sz w:val="24"/>
          <w:szCs w:val="24"/>
          <w:lang w:val="en-GB"/>
        </w:rPr>
        <w:t>1.</w:t>
        <w:tab/>
        <w:t>NAME OF THE VETERINARY MEDICINAL PRODUCT</w:t>
      </w:r>
    </w:p>
    <w:p w:rsidR="00BA1F6C" w:rsidRPr="00BA1F6C" w:rsidP="00BA1F6C">
      <w:pPr>
        <w:ind w:left="426"/>
        <w:rPr>
          <w:rFonts w:ascii="Arial" w:hAnsi="Arial" w:cs="Arial"/>
          <w:sz w:val="24"/>
          <w:szCs w:val="24"/>
          <w:lang w:val="en-GB"/>
        </w:rPr>
      </w:pPr>
      <w:r w:rsidRPr="00BA1F6C">
        <w:rPr>
          <w:rFonts w:ascii="Arial" w:hAnsi="Arial" w:cs="Arial"/>
          <w:sz w:val="24"/>
          <w:szCs w:val="24"/>
          <w:lang w:val="en-GB"/>
        </w:rPr>
        <w:t>Dexa-ject 2 mg/ml solution for injection for cattle,</w:t>
      </w:r>
      <w:r w:rsidRPr="00BA1F6C">
        <w:rPr>
          <w:rFonts w:ascii="Arial" w:hAnsi="Arial" w:cs="Arial"/>
          <w:sz w:val="24"/>
          <w:szCs w:val="24"/>
          <w:lang w:val="en-US"/>
        </w:rPr>
        <w:t xml:space="preserve"> </w:t>
      </w:r>
      <w:r w:rsidRPr="00BA1F6C">
        <w:rPr>
          <w:rFonts w:ascii="Arial" w:hAnsi="Arial" w:cs="Arial"/>
          <w:sz w:val="24"/>
          <w:szCs w:val="24"/>
          <w:lang w:val="en-GB"/>
        </w:rPr>
        <w:t xml:space="preserve">horses, pigs, dogs and cats (BE, DE, EE, ES, FR, HU, IE, IT, LT, LV, NL, PL, RO, UK). </w:t>
      </w:r>
    </w:p>
    <w:p w:rsidR="00BA1F6C" w:rsidRPr="00BA1F6C" w:rsidP="00BA1F6C">
      <w:pPr>
        <w:ind w:left="426"/>
        <w:rPr>
          <w:rFonts w:ascii="Arial" w:hAnsi="Arial" w:cs="Arial"/>
          <w:sz w:val="24"/>
          <w:szCs w:val="24"/>
          <w:lang w:val="en-GB"/>
        </w:rPr>
      </w:pPr>
      <w:r w:rsidRPr="00BA1F6C">
        <w:rPr>
          <w:rFonts w:ascii="Arial" w:hAnsi="Arial" w:cs="Arial"/>
          <w:sz w:val="24"/>
          <w:szCs w:val="24"/>
          <w:lang w:val="en-GB"/>
        </w:rPr>
        <w:t>Dexaject 2 mg/ml solution for injection for cattle, horses, pigs, dogs and cats (SE, DK, IS).</w:t>
      </w:r>
    </w:p>
    <w:p w:rsidR="00BA1F6C" w:rsidRPr="00BA1F6C" w:rsidP="00BA1F6C">
      <w:pPr>
        <w:pStyle w:val="Heading2"/>
        <w:spacing w:before="360" w:after="120" w:line="240" w:lineRule="auto"/>
        <w:ind w:left="426" w:hanging="426"/>
        <w:rPr>
          <w:rFonts w:ascii="Arial" w:hAnsi="Arial" w:cs="Arial"/>
          <w:sz w:val="24"/>
          <w:szCs w:val="24"/>
          <w:lang w:val="en-GB"/>
        </w:rPr>
      </w:pPr>
      <w:r w:rsidRPr="00BA1F6C">
        <w:rPr>
          <w:rFonts w:ascii="Arial" w:hAnsi="Arial" w:cs="Arial"/>
          <w:sz w:val="24"/>
          <w:szCs w:val="24"/>
          <w:lang w:val="en-GB"/>
        </w:rPr>
        <w:t>2.</w:t>
        <w:tab/>
        <w:t>QUALITATIVE AND QUANTITATIVE COMPOSITION</w:t>
      </w:r>
    </w:p>
    <w:p w:rsidR="00BA1F6C" w:rsidRPr="00BA1F6C" w:rsidP="00BA1F6C">
      <w:pPr>
        <w:pStyle w:val="Heading4"/>
        <w:spacing w:before="240" w:after="120" w:line="240" w:lineRule="atLeast"/>
        <w:ind w:left="426"/>
        <w:rPr>
          <w:rFonts w:ascii="Arial" w:hAnsi="Arial" w:cs="Arial"/>
          <w:b w:val="0"/>
          <w:bCs w:val="0"/>
          <w:i w:val="0"/>
          <w:iCs w:val="0"/>
          <w:sz w:val="24"/>
          <w:szCs w:val="24"/>
          <w:lang w:val="en-GB"/>
        </w:rPr>
      </w:pPr>
      <w:r w:rsidRPr="00BA1F6C">
        <w:rPr>
          <w:rFonts w:ascii="Arial" w:hAnsi="Arial" w:cs="Arial"/>
          <w:b w:val="0"/>
          <w:bCs w:val="0"/>
          <w:i w:val="0"/>
          <w:iCs w:val="0"/>
          <w:sz w:val="24"/>
          <w:szCs w:val="24"/>
          <w:lang w:val="en-GB"/>
        </w:rPr>
        <w:t>Per ml:</w:t>
      </w:r>
    </w:p>
    <w:p w:rsidR="00BA1F6C" w:rsidRPr="00BA1F6C" w:rsidP="00BA1F6C">
      <w:pPr>
        <w:pStyle w:val="Heading4"/>
        <w:spacing w:before="240" w:after="120" w:line="240" w:lineRule="atLeast"/>
        <w:ind w:left="426"/>
        <w:rPr>
          <w:rFonts w:ascii="Arial" w:hAnsi="Arial" w:cs="Arial"/>
          <w:sz w:val="24"/>
          <w:szCs w:val="24"/>
          <w:lang w:val="en-GB"/>
        </w:rPr>
      </w:pPr>
      <w:r w:rsidRPr="00BA1F6C">
        <w:rPr>
          <w:rFonts w:ascii="Arial" w:hAnsi="Arial" w:cs="Arial"/>
          <w:sz w:val="24"/>
          <w:szCs w:val="24"/>
          <w:lang w:val="en-GB"/>
        </w:rPr>
        <w:t>Active substance:</w:t>
      </w:r>
    </w:p>
    <w:p w:rsidR="00BA1F6C" w:rsidRPr="00BA1F6C" w:rsidP="00BA1F6C">
      <w:pPr>
        <w:ind w:left="426"/>
        <w:rPr>
          <w:rFonts w:ascii="Arial" w:hAnsi="Arial" w:cs="Arial"/>
          <w:sz w:val="24"/>
          <w:szCs w:val="24"/>
          <w:lang w:val="en-GB"/>
        </w:rPr>
      </w:pPr>
      <w:r w:rsidRPr="00BA1F6C">
        <w:rPr>
          <w:rFonts w:ascii="Arial" w:hAnsi="Arial" w:cs="Arial"/>
          <w:sz w:val="24"/>
          <w:szCs w:val="24"/>
          <w:lang w:val="en-GB"/>
        </w:rPr>
        <w:t xml:space="preserve">Dexamethasone </w:t>
        <w:tab/>
        <w:tab/>
        <w:tab/>
        <w:tab/>
        <w:tab/>
        <w:t>2 mg</w:t>
      </w:r>
    </w:p>
    <w:p w:rsidR="00BA1F6C" w:rsidRPr="00BA1F6C" w:rsidP="00BA1F6C">
      <w:pPr>
        <w:ind w:left="426"/>
        <w:rPr>
          <w:rFonts w:ascii="Arial" w:hAnsi="Arial" w:cs="Arial"/>
          <w:sz w:val="24"/>
          <w:szCs w:val="24"/>
          <w:lang w:val="en-GB"/>
        </w:rPr>
      </w:pPr>
      <w:r w:rsidRPr="00BA1F6C">
        <w:rPr>
          <w:rFonts w:ascii="Arial" w:hAnsi="Arial" w:cs="Arial"/>
          <w:sz w:val="24"/>
          <w:szCs w:val="24"/>
          <w:lang w:val="en-GB"/>
        </w:rPr>
        <w:t xml:space="preserve">as dexamethasone sodium phosphate </w:t>
        <w:tab/>
        <w:tab/>
        <w:t>2.63 mg</w:t>
      </w:r>
    </w:p>
    <w:p w:rsidR="00BA1F6C" w:rsidRPr="00BA1F6C" w:rsidP="00BA1F6C">
      <w:pPr>
        <w:ind w:left="426"/>
        <w:rPr>
          <w:rFonts w:ascii="Arial" w:hAnsi="Arial" w:cs="Arial"/>
          <w:sz w:val="24"/>
          <w:szCs w:val="24"/>
          <w:lang w:val="en-GB"/>
        </w:rPr>
      </w:pPr>
    </w:p>
    <w:p w:rsidR="00BA1F6C" w:rsidRPr="00BA1F6C" w:rsidP="00BA1F6C">
      <w:pPr>
        <w:ind w:left="426"/>
        <w:rPr>
          <w:rFonts w:ascii="Arial" w:hAnsi="Arial" w:cs="Arial"/>
          <w:sz w:val="24"/>
          <w:szCs w:val="24"/>
          <w:lang w:val="en-GB"/>
        </w:rPr>
      </w:pPr>
      <w:r w:rsidRPr="00BA1F6C">
        <w:rPr>
          <w:rFonts w:ascii="Arial" w:hAnsi="Arial" w:cs="Arial"/>
          <w:b/>
          <w:bCs/>
          <w:i/>
          <w:iCs/>
          <w:sz w:val="24"/>
          <w:szCs w:val="24"/>
          <w:lang w:val="en-GB"/>
        </w:rPr>
        <w:t>Excipients</w:t>
      </w:r>
      <w:r w:rsidRPr="00BA1F6C">
        <w:rPr>
          <w:rFonts w:ascii="Arial" w:hAnsi="Arial" w:cs="Arial"/>
          <w:sz w:val="24"/>
          <w:szCs w:val="24"/>
          <w:lang w:val="en-GB"/>
        </w:rPr>
        <w:t>:</w:t>
      </w:r>
    </w:p>
    <w:p w:rsidR="00BA1F6C" w:rsidRPr="00BA1F6C" w:rsidP="00BA1F6C">
      <w:pPr>
        <w:pStyle w:val="NormalIndent"/>
        <w:ind w:left="426"/>
        <w:rPr>
          <w:rFonts w:ascii="Arial" w:hAnsi="Arial" w:cs="Arial"/>
          <w:sz w:val="24"/>
          <w:szCs w:val="24"/>
          <w:lang w:val="en-GB"/>
        </w:rPr>
      </w:pPr>
      <w:r w:rsidRPr="00BA1F6C">
        <w:rPr>
          <w:rFonts w:ascii="Arial" w:hAnsi="Arial" w:cs="Arial"/>
          <w:sz w:val="24"/>
          <w:szCs w:val="24"/>
          <w:lang w:val="en-GB"/>
        </w:rPr>
        <w:t>Benzyl alcohol (E1519)</w:t>
        <w:tab/>
        <w:tab/>
        <w:tab/>
        <w:tab/>
        <w:t>15 mg</w:t>
      </w:r>
    </w:p>
    <w:p w:rsidR="00BA1F6C" w:rsidRPr="00BA1F6C" w:rsidP="00BA1F6C">
      <w:pPr>
        <w:ind w:left="426"/>
        <w:rPr>
          <w:rFonts w:ascii="Arial" w:hAnsi="Arial" w:cs="Arial"/>
          <w:sz w:val="24"/>
          <w:szCs w:val="24"/>
          <w:lang w:val="en-GB"/>
        </w:rPr>
      </w:pPr>
      <w:r w:rsidRPr="00BA1F6C">
        <w:rPr>
          <w:rFonts w:ascii="Arial" w:hAnsi="Arial" w:cs="Arial"/>
          <w:sz w:val="24"/>
          <w:szCs w:val="24"/>
          <w:lang w:val="en-GB"/>
        </w:rPr>
        <w:t>For the full list of excipients, see section 6.1.</w:t>
      </w:r>
    </w:p>
    <w:p w:rsidR="00BA1F6C" w:rsidRPr="00BA1F6C" w:rsidP="00BA1F6C">
      <w:pPr>
        <w:pStyle w:val="Heading2"/>
        <w:spacing w:before="360" w:after="120" w:line="240" w:lineRule="auto"/>
        <w:ind w:left="426" w:hanging="426"/>
        <w:rPr>
          <w:rFonts w:ascii="Arial" w:hAnsi="Arial" w:cs="Arial"/>
          <w:sz w:val="24"/>
          <w:szCs w:val="24"/>
          <w:lang w:val="en-GB"/>
        </w:rPr>
      </w:pPr>
      <w:r w:rsidRPr="00BA1F6C">
        <w:rPr>
          <w:rFonts w:ascii="Arial" w:hAnsi="Arial" w:cs="Arial"/>
          <w:sz w:val="24"/>
          <w:szCs w:val="24"/>
          <w:lang w:val="en-GB"/>
        </w:rPr>
        <w:t>3.</w:t>
        <w:tab/>
        <w:t>PHARMACEUTICAL FORM</w:t>
      </w:r>
    </w:p>
    <w:p w:rsidR="00BA1F6C" w:rsidRPr="00BA1F6C" w:rsidP="00BA1F6C">
      <w:pPr>
        <w:ind w:left="426"/>
        <w:rPr>
          <w:rFonts w:ascii="Arial" w:hAnsi="Arial" w:cs="Arial"/>
          <w:sz w:val="24"/>
          <w:szCs w:val="24"/>
          <w:lang w:val="en-GB"/>
        </w:rPr>
      </w:pPr>
      <w:r w:rsidRPr="00BA1F6C">
        <w:rPr>
          <w:rFonts w:ascii="Arial" w:hAnsi="Arial" w:cs="Arial"/>
          <w:sz w:val="24"/>
          <w:szCs w:val="24"/>
          <w:lang w:val="en-GB"/>
        </w:rPr>
        <w:t>Solution for injection.</w:t>
      </w:r>
    </w:p>
    <w:p w:rsidR="00BA1F6C" w:rsidRPr="00BA1F6C" w:rsidP="00BA1F6C">
      <w:pPr>
        <w:ind w:left="426"/>
        <w:rPr>
          <w:rFonts w:ascii="Arial" w:hAnsi="Arial" w:cs="Arial"/>
          <w:sz w:val="24"/>
          <w:szCs w:val="24"/>
          <w:lang w:val="en-GB"/>
        </w:rPr>
      </w:pPr>
      <w:r w:rsidRPr="00BA1F6C">
        <w:rPr>
          <w:rFonts w:ascii="Arial" w:hAnsi="Arial" w:cs="Arial"/>
          <w:sz w:val="24"/>
          <w:szCs w:val="24"/>
          <w:lang w:val="en-GB"/>
        </w:rPr>
        <w:t>Clear, colourless, aqueous solution.</w:t>
      </w:r>
    </w:p>
    <w:p w:rsidR="00BA1F6C" w:rsidRPr="00BA1F6C" w:rsidP="00BA1F6C">
      <w:pPr>
        <w:pStyle w:val="Heading2"/>
        <w:spacing w:before="360" w:after="120" w:line="240" w:lineRule="auto"/>
        <w:ind w:left="426" w:hanging="426"/>
        <w:rPr>
          <w:rFonts w:ascii="Arial" w:hAnsi="Arial" w:cs="Arial"/>
          <w:sz w:val="24"/>
          <w:szCs w:val="24"/>
          <w:lang w:val="en-GB"/>
        </w:rPr>
      </w:pPr>
      <w:r w:rsidRPr="00BA1F6C">
        <w:rPr>
          <w:rFonts w:ascii="Arial" w:hAnsi="Arial" w:cs="Arial"/>
          <w:sz w:val="24"/>
          <w:szCs w:val="24"/>
          <w:lang w:val="en-GB"/>
        </w:rPr>
        <w:t>4.</w:t>
        <w:tab/>
        <w:t>CLINICAL PARTICULARS</w:t>
      </w:r>
    </w:p>
    <w:p w:rsidR="00BA1F6C" w:rsidRPr="00BA1F6C" w:rsidP="00BA1F6C">
      <w:pPr>
        <w:pStyle w:val="Heading5"/>
        <w:spacing w:before="120" w:after="120"/>
        <w:ind w:left="993" w:hanging="568"/>
        <w:rPr>
          <w:rFonts w:ascii="Arial" w:hAnsi="Arial" w:cs="Arial"/>
          <w:sz w:val="24"/>
          <w:szCs w:val="24"/>
          <w:lang w:val="en-GB"/>
        </w:rPr>
      </w:pPr>
      <w:r w:rsidRPr="00BA1F6C">
        <w:rPr>
          <w:rFonts w:ascii="Arial" w:hAnsi="Arial" w:cs="Arial"/>
          <w:sz w:val="24"/>
          <w:szCs w:val="24"/>
          <w:lang w:val="en-GB"/>
        </w:rPr>
        <w:t>4.1</w:t>
        <w:tab/>
        <w:t>Target species</w:t>
      </w:r>
    </w:p>
    <w:p w:rsidR="00BA1F6C" w:rsidRPr="00BA1F6C" w:rsidP="00BA1F6C">
      <w:pPr>
        <w:ind w:left="993"/>
        <w:rPr>
          <w:rFonts w:ascii="Arial" w:hAnsi="Arial" w:cs="Arial"/>
          <w:sz w:val="24"/>
          <w:szCs w:val="24"/>
          <w:lang w:val="en-GB"/>
        </w:rPr>
      </w:pPr>
      <w:r w:rsidRPr="00BA1F6C">
        <w:rPr>
          <w:rFonts w:ascii="Arial" w:hAnsi="Arial" w:cs="Arial"/>
          <w:sz w:val="24"/>
          <w:szCs w:val="24"/>
          <w:lang w:val="en-GB"/>
        </w:rPr>
        <w:t xml:space="preserve">Cattle, horses, pigs, dogs and cats. </w:t>
      </w:r>
    </w:p>
    <w:p w:rsidR="00BA1F6C" w:rsidRPr="00BA1F6C" w:rsidP="00BA1F6C">
      <w:pPr>
        <w:pStyle w:val="Heading5"/>
        <w:spacing w:before="240" w:after="120"/>
        <w:ind w:left="993" w:hanging="568"/>
        <w:rPr>
          <w:rFonts w:ascii="Arial" w:hAnsi="Arial" w:cs="Arial"/>
          <w:sz w:val="24"/>
          <w:szCs w:val="24"/>
          <w:lang w:val="en-GB"/>
        </w:rPr>
      </w:pPr>
      <w:r w:rsidRPr="00BA1F6C">
        <w:rPr>
          <w:rFonts w:ascii="Arial" w:hAnsi="Arial" w:cs="Arial"/>
          <w:sz w:val="24"/>
          <w:szCs w:val="24"/>
          <w:lang w:val="en-GB"/>
        </w:rPr>
        <w:t>4.2</w:t>
        <w:tab/>
        <w:t>Indications for use, specifying the target species</w:t>
      </w:r>
    </w:p>
    <w:p w:rsidR="00BA1F6C" w:rsidRPr="00BA1F6C" w:rsidP="00BA1F6C">
      <w:pPr>
        <w:pStyle w:val="NormalIndent"/>
        <w:ind w:left="993"/>
        <w:rPr>
          <w:rFonts w:ascii="Arial" w:hAnsi="Arial" w:cs="Arial"/>
          <w:sz w:val="24"/>
          <w:szCs w:val="24"/>
          <w:lang w:val="en-GB"/>
        </w:rPr>
      </w:pPr>
      <w:r w:rsidRPr="00BA1F6C">
        <w:rPr>
          <w:rFonts w:ascii="Arial" w:hAnsi="Arial" w:cs="Arial"/>
          <w:sz w:val="24"/>
          <w:szCs w:val="24"/>
          <w:lang w:val="en-GB"/>
        </w:rPr>
        <w:t>Horses, cattle, pigs, dogs and cats:</w:t>
      </w:r>
    </w:p>
    <w:p w:rsidR="00BA1F6C" w:rsidRPr="00BA1F6C" w:rsidP="00BA1F6C">
      <w:pPr>
        <w:pStyle w:val="NormalIndent"/>
        <w:ind w:left="993"/>
        <w:rPr>
          <w:rFonts w:ascii="Arial" w:hAnsi="Arial" w:cs="Arial"/>
          <w:sz w:val="24"/>
          <w:szCs w:val="24"/>
          <w:lang w:val="en-GB"/>
        </w:rPr>
      </w:pPr>
      <w:r w:rsidRPr="00BA1F6C">
        <w:rPr>
          <w:rFonts w:ascii="Arial" w:hAnsi="Arial" w:cs="Arial"/>
          <w:sz w:val="24"/>
          <w:szCs w:val="24"/>
          <w:lang w:val="en-GB"/>
        </w:rPr>
        <w:t>Treatment of inflammatory or allergic conditions.</w:t>
      </w:r>
    </w:p>
    <w:p w:rsidR="00BA1F6C" w:rsidRPr="00BA1F6C" w:rsidP="00BA1F6C">
      <w:pPr>
        <w:pStyle w:val="NormalIndent"/>
        <w:ind w:left="993"/>
        <w:rPr>
          <w:rFonts w:ascii="Arial" w:hAnsi="Arial" w:cs="Arial"/>
          <w:sz w:val="24"/>
          <w:szCs w:val="24"/>
          <w:lang w:val="en-GB"/>
        </w:rPr>
      </w:pPr>
    </w:p>
    <w:p w:rsidR="00BA1F6C" w:rsidRPr="00BA1F6C" w:rsidP="00BA1F6C">
      <w:pPr>
        <w:pStyle w:val="NormalIndent"/>
        <w:ind w:left="993"/>
        <w:rPr>
          <w:rFonts w:ascii="Arial" w:hAnsi="Arial" w:cs="Arial"/>
          <w:sz w:val="24"/>
          <w:szCs w:val="24"/>
          <w:lang w:val="en-GB"/>
        </w:rPr>
      </w:pPr>
      <w:r w:rsidRPr="00BA1F6C">
        <w:rPr>
          <w:rFonts w:ascii="Arial" w:hAnsi="Arial" w:cs="Arial"/>
          <w:sz w:val="24"/>
          <w:szCs w:val="24"/>
          <w:lang w:val="en-GB"/>
        </w:rPr>
        <w:t>Cattle:</w:t>
      </w:r>
    </w:p>
    <w:p w:rsidR="00BA1F6C" w:rsidRPr="00BA1F6C" w:rsidP="00BA1F6C">
      <w:pPr>
        <w:pStyle w:val="NormalIndent"/>
        <w:ind w:left="993"/>
        <w:rPr>
          <w:rFonts w:ascii="Arial" w:hAnsi="Arial" w:cs="Arial"/>
          <w:sz w:val="24"/>
          <w:szCs w:val="24"/>
          <w:lang w:val="en-GB"/>
        </w:rPr>
      </w:pPr>
      <w:r w:rsidRPr="00BA1F6C">
        <w:rPr>
          <w:rFonts w:ascii="Arial" w:hAnsi="Arial" w:cs="Arial"/>
          <w:sz w:val="24"/>
          <w:szCs w:val="24"/>
          <w:lang w:val="en-GB"/>
        </w:rPr>
        <w:t>Induction of parturition.</w:t>
      </w:r>
    </w:p>
    <w:p w:rsidR="00BA1F6C" w:rsidRPr="00BA1F6C" w:rsidP="00BA1F6C">
      <w:pPr>
        <w:pStyle w:val="NormalIndent"/>
        <w:ind w:left="993"/>
        <w:rPr>
          <w:rFonts w:ascii="Arial" w:hAnsi="Arial" w:cs="Arial"/>
          <w:sz w:val="24"/>
          <w:szCs w:val="24"/>
          <w:lang w:val="en-GB"/>
        </w:rPr>
      </w:pPr>
      <w:r w:rsidRPr="00BA1F6C">
        <w:rPr>
          <w:rFonts w:ascii="Arial" w:hAnsi="Arial" w:cs="Arial"/>
          <w:sz w:val="24"/>
          <w:szCs w:val="24"/>
          <w:lang w:val="en-GB"/>
        </w:rPr>
        <w:t>Treatment of primary ketosis (acetonaemia).</w:t>
      </w:r>
    </w:p>
    <w:p w:rsidR="00BA1F6C" w:rsidRPr="00BA1F6C" w:rsidP="00BA1F6C">
      <w:pPr>
        <w:pStyle w:val="NormalIndent"/>
        <w:ind w:left="993"/>
        <w:rPr>
          <w:rFonts w:ascii="Arial" w:hAnsi="Arial" w:cs="Arial"/>
          <w:sz w:val="24"/>
          <w:szCs w:val="24"/>
          <w:lang w:val="en-GB"/>
        </w:rPr>
      </w:pPr>
    </w:p>
    <w:p w:rsidR="00BA1F6C" w:rsidRPr="00BA1F6C" w:rsidP="00BA1F6C">
      <w:pPr>
        <w:pStyle w:val="NormalIndent"/>
        <w:ind w:left="993"/>
        <w:rPr>
          <w:rFonts w:ascii="Arial" w:hAnsi="Arial" w:cs="Arial"/>
          <w:sz w:val="24"/>
          <w:szCs w:val="24"/>
          <w:lang w:val="en-GB"/>
        </w:rPr>
      </w:pPr>
      <w:r w:rsidRPr="00BA1F6C">
        <w:rPr>
          <w:rFonts w:ascii="Arial" w:hAnsi="Arial" w:cs="Arial"/>
          <w:sz w:val="24"/>
          <w:szCs w:val="24"/>
          <w:lang w:val="en-GB"/>
        </w:rPr>
        <w:t>Horses:</w:t>
      </w:r>
    </w:p>
    <w:p w:rsidR="00BA1F6C" w:rsidRPr="00BA1F6C" w:rsidP="00BA1F6C">
      <w:pPr>
        <w:pStyle w:val="NormalIndent"/>
        <w:ind w:left="993"/>
        <w:rPr>
          <w:rFonts w:ascii="Arial" w:hAnsi="Arial" w:cs="Arial"/>
          <w:sz w:val="24"/>
          <w:szCs w:val="24"/>
          <w:lang w:val="en-GB"/>
        </w:rPr>
      </w:pPr>
      <w:r w:rsidRPr="00BA1F6C">
        <w:rPr>
          <w:rFonts w:ascii="Arial" w:hAnsi="Arial" w:cs="Arial"/>
          <w:sz w:val="24"/>
          <w:szCs w:val="24"/>
          <w:lang w:val="en-GB"/>
        </w:rPr>
        <w:t>Treatment of arthritis, bursitis or tenosynovitis.</w:t>
      </w:r>
    </w:p>
    <w:p w:rsidR="00BA1F6C" w:rsidRPr="00BA1F6C" w:rsidP="00BA1F6C">
      <w:pPr>
        <w:pStyle w:val="Heading5"/>
        <w:spacing w:before="240" w:after="120"/>
        <w:ind w:left="993" w:hanging="568"/>
        <w:rPr>
          <w:rFonts w:ascii="Arial" w:hAnsi="Arial" w:cs="Arial"/>
          <w:sz w:val="24"/>
          <w:szCs w:val="24"/>
          <w:lang w:val="en-GB"/>
        </w:rPr>
      </w:pPr>
      <w:r w:rsidRPr="00BA1F6C">
        <w:rPr>
          <w:rFonts w:ascii="Arial" w:hAnsi="Arial" w:cs="Arial"/>
          <w:sz w:val="24"/>
          <w:szCs w:val="24"/>
          <w:lang w:val="en-GB"/>
        </w:rPr>
        <w:t>4.3</w:t>
        <w:tab/>
        <w:t>Contraindications</w:t>
      </w:r>
    </w:p>
    <w:p w:rsidR="00BA1F6C" w:rsidRPr="00BA1F6C" w:rsidP="00BA1F6C">
      <w:pPr>
        <w:ind w:left="993"/>
        <w:rPr>
          <w:rFonts w:ascii="Arial" w:hAnsi="Arial" w:cs="Arial"/>
          <w:sz w:val="24"/>
          <w:szCs w:val="24"/>
          <w:lang w:val="en-GB"/>
        </w:rPr>
      </w:pPr>
      <w:r w:rsidRPr="00BA1F6C">
        <w:rPr>
          <w:rFonts w:ascii="Arial" w:hAnsi="Arial" w:cs="Arial"/>
          <w:sz w:val="24"/>
          <w:szCs w:val="24"/>
          <w:lang w:val="en-GB"/>
        </w:rPr>
        <w:t xml:space="preserve">Except in emergency situations, do not use in animals suffering from diabetes mellitus, renal insufficiency, cardiac insufficiency, hyperadrenocorticism or osteoporosis. </w:t>
      </w:r>
    </w:p>
    <w:p w:rsidR="00BA1F6C" w:rsidRPr="00BA1F6C" w:rsidP="00BA1F6C">
      <w:pPr>
        <w:ind w:left="993"/>
        <w:rPr>
          <w:rFonts w:ascii="Arial" w:hAnsi="Arial" w:cs="Arial"/>
          <w:sz w:val="24"/>
          <w:szCs w:val="24"/>
          <w:lang w:val="en-GB"/>
        </w:rPr>
      </w:pPr>
      <w:r w:rsidRPr="00BA1F6C">
        <w:rPr>
          <w:rFonts w:ascii="Arial" w:hAnsi="Arial" w:cs="Arial"/>
          <w:sz w:val="24"/>
          <w:szCs w:val="24"/>
          <w:lang w:val="en-GB"/>
        </w:rPr>
        <w:t>Do not use in viral infections during the viraemic stage or in cases of systemic mycotic infections.</w:t>
      </w:r>
    </w:p>
    <w:p w:rsidR="00BA1F6C" w:rsidRPr="00BA1F6C" w:rsidP="00BA1F6C">
      <w:pPr>
        <w:ind w:left="993"/>
        <w:rPr>
          <w:rFonts w:ascii="Arial" w:hAnsi="Arial" w:cs="Arial"/>
          <w:sz w:val="24"/>
          <w:szCs w:val="24"/>
          <w:lang w:val="en-GB"/>
        </w:rPr>
      </w:pPr>
      <w:r w:rsidRPr="00BA1F6C">
        <w:rPr>
          <w:rFonts w:ascii="Arial" w:hAnsi="Arial" w:cs="Arial"/>
          <w:sz w:val="24"/>
          <w:szCs w:val="24"/>
          <w:lang w:val="en-GB"/>
        </w:rPr>
        <w:t>Do not use in animals suffering from gastrointestinal or corneal ulcers, or demodicosis.</w:t>
      </w:r>
    </w:p>
    <w:p w:rsidR="00BA1F6C" w:rsidRPr="00BA1F6C" w:rsidP="00BA1F6C">
      <w:pPr>
        <w:ind w:left="993"/>
        <w:rPr>
          <w:rFonts w:ascii="Arial" w:hAnsi="Arial" w:cs="Arial"/>
          <w:sz w:val="24"/>
          <w:szCs w:val="24"/>
          <w:lang w:val="en-GB"/>
        </w:rPr>
      </w:pPr>
      <w:r w:rsidRPr="00BA1F6C">
        <w:rPr>
          <w:rFonts w:ascii="Arial" w:hAnsi="Arial" w:cs="Arial"/>
          <w:sz w:val="24"/>
          <w:szCs w:val="24"/>
          <w:lang w:val="en-GB"/>
        </w:rPr>
        <w:t xml:space="preserve">Do not administer intra-articularly where there is evidence of fractures, bacterial joint infections and aseptic bone necrosis. </w:t>
      </w:r>
    </w:p>
    <w:p w:rsidR="00BA1F6C" w:rsidRPr="00BA1F6C" w:rsidP="00BA1F6C">
      <w:pPr>
        <w:ind w:left="993"/>
        <w:rPr>
          <w:rFonts w:ascii="Arial" w:hAnsi="Arial" w:cs="Arial"/>
          <w:sz w:val="24"/>
          <w:szCs w:val="24"/>
          <w:lang w:val="en-GB"/>
        </w:rPr>
      </w:pPr>
      <w:r w:rsidRPr="00BA1F6C">
        <w:rPr>
          <w:rFonts w:ascii="Arial" w:hAnsi="Arial" w:cs="Arial"/>
          <w:sz w:val="24"/>
          <w:szCs w:val="24"/>
          <w:lang w:val="en-GB"/>
        </w:rPr>
        <w:t>Do not use in known cases of hypersensitivity to the active substance, to corticosteroids and to any other ingredient of the product.</w:t>
      </w:r>
    </w:p>
    <w:p w:rsidR="00BA1F6C" w:rsidRPr="00BA1F6C" w:rsidP="00BA1F6C">
      <w:pPr>
        <w:ind w:left="993"/>
        <w:rPr>
          <w:rFonts w:ascii="Arial" w:hAnsi="Arial" w:cs="Arial"/>
          <w:sz w:val="24"/>
          <w:szCs w:val="24"/>
          <w:lang w:val="en-GB"/>
        </w:rPr>
      </w:pPr>
      <w:r w:rsidRPr="00BA1F6C">
        <w:rPr>
          <w:rFonts w:ascii="Arial" w:hAnsi="Arial" w:cs="Arial"/>
          <w:sz w:val="24"/>
          <w:szCs w:val="24"/>
          <w:lang w:val="en-GB"/>
        </w:rPr>
        <w:t>See also section 4.7.</w:t>
      </w:r>
    </w:p>
    <w:p w:rsidR="00BA1F6C" w:rsidRPr="00BA1F6C" w:rsidP="00BA1F6C">
      <w:pPr>
        <w:pStyle w:val="Heading5"/>
        <w:spacing w:before="240" w:after="120"/>
        <w:ind w:left="993" w:hanging="568"/>
        <w:rPr>
          <w:rFonts w:ascii="Arial" w:hAnsi="Arial" w:cs="Arial"/>
          <w:sz w:val="24"/>
          <w:szCs w:val="24"/>
          <w:lang w:val="en-GB"/>
        </w:rPr>
      </w:pPr>
      <w:r w:rsidRPr="00BA1F6C">
        <w:rPr>
          <w:rFonts w:ascii="Arial" w:hAnsi="Arial" w:cs="Arial"/>
          <w:sz w:val="24"/>
          <w:szCs w:val="24"/>
          <w:lang w:val="en-GB"/>
        </w:rPr>
        <w:t>4.4</w:t>
        <w:tab/>
        <w:t>Special warnings for each target species</w:t>
      </w:r>
    </w:p>
    <w:p w:rsidR="00BA1F6C" w:rsidRPr="00BA1F6C" w:rsidP="00BA1F6C">
      <w:pPr>
        <w:ind w:left="993"/>
        <w:rPr>
          <w:rFonts w:ascii="Arial" w:hAnsi="Arial" w:cs="Arial"/>
          <w:sz w:val="24"/>
          <w:szCs w:val="24"/>
          <w:lang w:val="en-GB"/>
        </w:rPr>
      </w:pPr>
      <w:r w:rsidRPr="00BA1F6C">
        <w:rPr>
          <w:rFonts w:ascii="Arial" w:hAnsi="Arial" w:cs="Arial"/>
          <w:sz w:val="24"/>
          <w:szCs w:val="24"/>
          <w:lang w:val="en-GB"/>
        </w:rPr>
        <w:t>None.</w:t>
      </w:r>
    </w:p>
    <w:p w:rsidR="00BA1F6C" w:rsidRPr="00BA1F6C" w:rsidP="00BA1F6C">
      <w:pPr>
        <w:pStyle w:val="Heading5"/>
        <w:spacing w:before="240" w:after="120"/>
        <w:ind w:left="993" w:hanging="568"/>
        <w:rPr>
          <w:rFonts w:ascii="Arial" w:hAnsi="Arial" w:cs="Arial"/>
          <w:sz w:val="24"/>
          <w:szCs w:val="24"/>
          <w:lang w:val="en-GB"/>
        </w:rPr>
      </w:pPr>
      <w:r w:rsidRPr="00BA1F6C">
        <w:rPr>
          <w:rFonts w:ascii="Arial" w:hAnsi="Arial" w:cs="Arial"/>
          <w:sz w:val="24"/>
          <w:szCs w:val="24"/>
          <w:lang w:val="en-GB"/>
        </w:rPr>
        <w:t>4.5</w:t>
        <w:tab/>
        <w:t>Special precautions for use</w:t>
      </w:r>
    </w:p>
    <w:p w:rsidR="00BA1F6C" w:rsidRPr="00BA1F6C" w:rsidP="00BA1F6C">
      <w:pPr>
        <w:pStyle w:val="Heading6"/>
        <w:rPr>
          <w:rFonts w:ascii="Arial" w:hAnsi="Arial" w:cs="Arial"/>
          <w:sz w:val="24"/>
          <w:szCs w:val="24"/>
          <w:lang w:val="en-GB"/>
        </w:rPr>
      </w:pPr>
      <w:r w:rsidRPr="00BA1F6C">
        <w:rPr>
          <w:rFonts w:ascii="Arial" w:hAnsi="Arial" w:cs="Arial"/>
          <w:b w:val="0"/>
          <w:sz w:val="24"/>
          <w:szCs w:val="24"/>
          <w:u w:val="single"/>
          <w:lang w:val="en-GB"/>
        </w:rPr>
        <w:t>Special precautions for use in animals</w:t>
      </w:r>
    </w:p>
    <w:p w:rsidR="00BA1F6C" w:rsidRPr="00BA1F6C" w:rsidP="00BA1F6C">
      <w:pPr>
        <w:ind w:left="993"/>
        <w:rPr>
          <w:rFonts w:ascii="Arial" w:hAnsi="Arial" w:cs="Arial"/>
          <w:sz w:val="24"/>
          <w:szCs w:val="24"/>
          <w:lang w:val="en-GB"/>
        </w:rPr>
      </w:pPr>
    </w:p>
    <w:p w:rsidR="00BA1F6C" w:rsidRPr="00BA1F6C" w:rsidP="00BA1F6C">
      <w:pPr>
        <w:ind w:left="993"/>
        <w:rPr>
          <w:rFonts w:ascii="Arial" w:hAnsi="Arial" w:cs="Arial"/>
          <w:sz w:val="24"/>
          <w:szCs w:val="24"/>
          <w:lang w:val="en-GB"/>
        </w:rPr>
      </w:pPr>
      <w:r w:rsidRPr="00BA1F6C">
        <w:rPr>
          <w:rFonts w:ascii="Arial" w:hAnsi="Arial" w:cs="Arial"/>
          <w:sz w:val="24"/>
          <w:szCs w:val="24"/>
          <w:lang w:val="en-US"/>
        </w:rPr>
        <w:t>Response to long-term therapy should be monitored at regular intervals by a veterinary surgeon.</w:t>
      </w:r>
      <w:r w:rsidRPr="00BA1F6C">
        <w:rPr>
          <w:rFonts w:ascii="Arial" w:hAnsi="Arial" w:cs="Arial"/>
          <w:sz w:val="24"/>
          <w:szCs w:val="24"/>
          <w:lang w:val="en-GB"/>
        </w:rPr>
        <w:t xml:space="preserve">Use of corticosteroids in horses has been reported to induce laminitis. Therefore horses treated with such preparations should be monitored frequently during the treatment period. </w:t>
      </w:r>
    </w:p>
    <w:p w:rsidR="00BA1F6C" w:rsidRPr="00BA1F6C" w:rsidP="00BA1F6C">
      <w:pPr>
        <w:ind w:left="993"/>
        <w:rPr>
          <w:rFonts w:ascii="Arial" w:hAnsi="Arial" w:cs="Arial"/>
          <w:sz w:val="24"/>
          <w:szCs w:val="24"/>
          <w:lang w:val="en-US"/>
        </w:rPr>
      </w:pPr>
      <w:r w:rsidRPr="00BA1F6C">
        <w:rPr>
          <w:rFonts w:ascii="Arial" w:hAnsi="Arial" w:cs="Arial"/>
          <w:sz w:val="24"/>
          <w:szCs w:val="24"/>
          <w:lang w:val="en-US"/>
        </w:rPr>
        <w:t xml:space="preserve">Because of the pharmacological properties of the active ingredient, special care should be taken when the product is used in animals with a weakened immune system.  </w:t>
      </w:r>
    </w:p>
    <w:p w:rsidR="00BA1F6C" w:rsidRPr="00BA1F6C" w:rsidP="00BA1F6C">
      <w:pPr>
        <w:ind w:left="993"/>
        <w:rPr>
          <w:rFonts w:ascii="Arial" w:hAnsi="Arial" w:cs="Arial"/>
          <w:sz w:val="24"/>
          <w:szCs w:val="24"/>
          <w:lang w:val="en-US"/>
        </w:rPr>
      </w:pPr>
      <w:r w:rsidRPr="00BA1F6C">
        <w:rPr>
          <w:rFonts w:ascii="Arial" w:hAnsi="Arial" w:cs="Arial"/>
          <w:sz w:val="24"/>
          <w:szCs w:val="24"/>
          <w:lang w:val="en-US"/>
        </w:rPr>
        <w:t xml:space="preserve">Except in cases of acetonaemia and induction of parturition, the purpose of corticosteroid administration is to produce an improvement in clinical signs rather than a cure. The underlying disease should be further investigated. When treating groups of animals, use a draw-off needle to avoid excessive broaching of the stopper. The maximum number of broachings should be limited to 50. </w:t>
      </w:r>
    </w:p>
    <w:p w:rsidR="00BA1F6C" w:rsidRPr="00BA1F6C" w:rsidP="00BA1F6C">
      <w:pPr>
        <w:ind w:left="993"/>
        <w:rPr>
          <w:rFonts w:ascii="Arial" w:hAnsi="Arial" w:cs="Arial"/>
          <w:sz w:val="24"/>
          <w:szCs w:val="24"/>
          <w:lang w:val="en-GB"/>
        </w:rPr>
      </w:pPr>
      <w:r w:rsidRPr="00BA1F6C">
        <w:rPr>
          <w:rFonts w:ascii="Arial" w:hAnsi="Arial" w:cs="Arial"/>
          <w:sz w:val="24"/>
          <w:szCs w:val="24"/>
          <w:lang w:val="en-GB"/>
        </w:rPr>
        <w:t>Following intra-articular administration, use of the joint should be minimized for one month and surgery on the joint should not be performed within eight weeks of use of this route of administration.</w:t>
      </w:r>
    </w:p>
    <w:p w:rsidR="00BA1F6C" w:rsidRPr="00BA1F6C" w:rsidP="00BA1F6C">
      <w:pPr>
        <w:pStyle w:val="Heading5"/>
        <w:spacing w:before="240" w:after="120"/>
        <w:ind w:left="993"/>
        <w:rPr>
          <w:rFonts w:ascii="Arial" w:hAnsi="Arial" w:cs="Arial"/>
          <w:b w:val="0"/>
          <w:sz w:val="24"/>
          <w:szCs w:val="24"/>
          <w:u w:val="single"/>
          <w:lang w:val="en-GB"/>
        </w:rPr>
      </w:pPr>
      <w:r w:rsidRPr="00BA1F6C">
        <w:rPr>
          <w:rFonts w:ascii="Arial" w:hAnsi="Arial" w:cs="Arial"/>
          <w:b w:val="0"/>
          <w:sz w:val="24"/>
          <w:szCs w:val="24"/>
          <w:u w:val="single"/>
          <w:lang w:val="en-GB"/>
        </w:rPr>
        <w:t xml:space="preserve">Special precautions to be taken by the person administering the veterinary medicinal product to animals </w:t>
      </w:r>
    </w:p>
    <w:p w:rsidR="00BA1F6C" w:rsidRPr="00BA1F6C" w:rsidP="00BA1F6C">
      <w:pPr>
        <w:pStyle w:val="NormalIndent"/>
        <w:ind w:left="993"/>
        <w:rPr>
          <w:rFonts w:ascii="Arial" w:hAnsi="Arial" w:cs="Arial"/>
          <w:sz w:val="24"/>
          <w:szCs w:val="24"/>
          <w:lang w:val="en-GB"/>
        </w:rPr>
      </w:pPr>
      <w:r w:rsidRPr="00BA1F6C">
        <w:rPr>
          <w:rFonts w:ascii="Arial" w:hAnsi="Arial" w:cs="Arial"/>
          <w:sz w:val="24"/>
          <w:szCs w:val="24"/>
          <w:lang w:val="en-US"/>
        </w:rPr>
        <w:t xml:space="preserve"> </w:t>
      </w:r>
      <w:r w:rsidRPr="00BA1F6C">
        <w:rPr>
          <w:rFonts w:ascii="Arial" w:hAnsi="Arial" w:cs="Arial"/>
          <w:sz w:val="24"/>
          <w:szCs w:val="24"/>
          <w:lang w:val="en-GB"/>
        </w:rPr>
        <w:t>This product contains dexamethasone, which can cause allergic reactions in some people.People with known hypersensitivity to the active substance or any of the excipients should avoid contact with the product.</w:t>
      </w:r>
    </w:p>
    <w:p w:rsidR="00BA1F6C" w:rsidRPr="00BA1F6C" w:rsidP="00BA1F6C">
      <w:pPr>
        <w:pStyle w:val="NormalIndent"/>
        <w:ind w:left="993"/>
        <w:rPr>
          <w:rFonts w:ascii="Arial" w:hAnsi="Arial" w:cs="Arial"/>
          <w:sz w:val="24"/>
          <w:szCs w:val="24"/>
          <w:lang w:val="en-GB"/>
        </w:rPr>
      </w:pPr>
      <w:r w:rsidRPr="00BA1F6C">
        <w:rPr>
          <w:rFonts w:ascii="Arial" w:hAnsi="Arial" w:cs="Arial"/>
          <w:sz w:val="24"/>
          <w:szCs w:val="24"/>
          <w:lang w:val="en-GB"/>
        </w:rPr>
        <w:t>Wash hands after handling the product.</w:t>
      </w:r>
    </w:p>
    <w:p w:rsidR="00BA1F6C" w:rsidRPr="00BA1F6C" w:rsidP="00BA1F6C">
      <w:pPr>
        <w:pStyle w:val="NormalIndent"/>
        <w:ind w:left="993"/>
        <w:rPr>
          <w:rFonts w:ascii="Arial" w:hAnsi="Arial" w:cs="Arial"/>
          <w:sz w:val="24"/>
          <w:szCs w:val="24"/>
          <w:lang w:val="en-GB"/>
        </w:rPr>
      </w:pPr>
      <w:r w:rsidRPr="00BA1F6C">
        <w:rPr>
          <w:rFonts w:ascii="Arial" w:hAnsi="Arial" w:cs="Arial"/>
          <w:sz w:val="24"/>
          <w:szCs w:val="24"/>
          <w:lang w:val="en-GB"/>
        </w:rPr>
        <w:t>In case of accidental self-injection, seek medical advice and show the package leaflet or the label to the physician.</w:t>
      </w:r>
    </w:p>
    <w:p w:rsidR="00BA1F6C" w:rsidRPr="00BA1F6C" w:rsidP="00BA1F6C">
      <w:pPr>
        <w:pStyle w:val="NormalIndent"/>
        <w:ind w:left="993"/>
        <w:rPr>
          <w:rFonts w:ascii="Arial" w:hAnsi="Arial" w:cs="Arial"/>
          <w:sz w:val="24"/>
          <w:szCs w:val="24"/>
          <w:lang w:val="en-GB"/>
        </w:rPr>
      </w:pPr>
      <w:r w:rsidRPr="00BA1F6C">
        <w:rPr>
          <w:rFonts w:ascii="Arial" w:hAnsi="Arial" w:cs="Arial"/>
          <w:sz w:val="24"/>
          <w:szCs w:val="24"/>
          <w:lang w:val="en-GB"/>
        </w:rPr>
        <w:t>Pregnant women should not handle this veterinary medicinal product.</w:t>
      </w:r>
    </w:p>
    <w:p w:rsidR="00BA1F6C" w:rsidRPr="00BA1F6C" w:rsidP="00BA1F6C">
      <w:pPr>
        <w:pStyle w:val="Heading5"/>
        <w:spacing w:before="240" w:after="120"/>
        <w:ind w:left="993" w:hanging="568"/>
        <w:rPr>
          <w:rFonts w:ascii="Arial" w:hAnsi="Arial" w:cs="Arial"/>
          <w:sz w:val="24"/>
          <w:szCs w:val="24"/>
          <w:lang w:val="en-GB"/>
        </w:rPr>
      </w:pPr>
      <w:r w:rsidRPr="00BA1F6C">
        <w:rPr>
          <w:rFonts w:ascii="Arial" w:hAnsi="Arial" w:cs="Arial"/>
          <w:sz w:val="24"/>
          <w:szCs w:val="24"/>
          <w:lang w:val="en-GB"/>
        </w:rPr>
        <w:t>4.6</w:t>
        <w:tab/>
        <w:t>Adverse reactions (frequency and seriousness)</w:t>
      </w:r>
    </w:p>
    <w:p w:rsidR="00BA1F6C" w:rsidRPr="00BA1F6C" w:rsidP="00BA1F6C">
      <w:pPr>
        <w:ind w:left="993"/>
        <w:rPr>
          <w:rFonts w:ascii="Arial" w:hAnsi="Arial" w:cs="Arial"/>
          <w:sz w:val="24"/>
          <w:szCs w:val="24"/>
          <w:lang w:val="en-US"/>
        </w:rPr>
      </w:pPr>
      <w:r w:rsidRPr="00BA1F6C">
        <w:rPr>
          <w:rFonts w:ascii="Arial" w:hAnsi="Arial" w:cs="Arial"/>
          <w:sz w:val="24"/>
          <w:szCs w:val="24"/>
          <w:lang w:val="en-US"/>
        </w:rPr>
        <w:t>Anti-inflammatory corticosteroids, such as dexamethasone, are known to exert a wide range of side effects. Whilst single high doses are generally well tolerated, they may induce severe side effects upon long-term use and when esters possessing a long duration of action are administered. During medium to long-term use, the dose should therefore generally be kept to the minimum necessary to control symptoms.</w:t>
      </w:r>
    </w:p>
    <w:p w:rsidR="00BA1F6C" w:rsidRPr="00BA1F6C" w:rsidP="00BA1F6C">
      <w:pPr>
        <w:ind w:left="993"/>
        <w:rPr>
          <w:rFonts w:ascii="Arial" w:hAnsi="Arial" w:cs="Arial"/>
          <w:sz w:val="24"/>
          <w:szCs w:val="24"/>
          <w:lang w:val="en-US"/>
        </w:rPr>
      </w:pPr>
    </w:p>
    <w:p w:rsidR="00BA1F6C" w:rsidRPr="00BA1F6C" w:rsidP="00BA1F6C">
      <w:pPr>
        <w:ind w:left="993"/>
        <w:rPr>
          <w:rFonts w:ascii="Arial" w:hAnsi="Arial" w:cs="Arial"/>
          <w:sz w:val="24"/>
          <w:szCs w:val="24"/>
          <w:lang w:val="en-GB"/>
        </w:rPr>
      </w:pPr>
      <w:r w:rsidRPr="00BA1F6C">
        <w:rPr>
          <w:rFonts w:ascii="Arial" w:hAnsi="Arial" w:cs="Arial"/>
          <w:sz w:val="24"/>
          <w:szCs w:val="24"/>
          <w:lang w:val="en-GB"/>
        </w:rPr>
        <w:t xml:space="preserve">Steroids themselves, during treatment, may cause iatrogenic hyperadrenocorticism (Cushing’s  disease) involving significant alteration of fat, carbohydrate, protein and mineral metabolism, e.g. redistribution of body fat, muscle weakness and wastage and osteoporosis may result. </w:t>
      </w:r>
    </w:p>
    <w:p w:rsidR="00BA1F6C" w:rsidRPr="00BA1F6C" w:rsidP="00BA1F6C">
      <w:pPr>
        <w:ind w:left="993"/>
        <w:rPr>
          <w:rFonts w:ascii="Arial" w:hAnsi="Arial" w:cs="Arial"/>
          <w:sz w:val="24"/>
          <w:szCs w:val="24"/>
          <w:lang w:val="en-GB"/>
        </w:rPr>
      </w:pPr>
    </w:p>
    <w:p w:rsidR="00BA1F6C" w:rsidRPr="00BA1F6C" w:rsidP="00BA1F6C">
      <w:pPr>
        <w:ind w:left="993"/>
        <w:rPr>
          <w:rFonts w:ascii="Arial" w:hAnsi="Arial" w:cs="Arial"/>
          <w:sz w:val="24"/>
          <w:szCs w:val="24"/>
          <w:lang w:val="en-GB"/>
        </w:rPr>
      </w:pPr>
      <w:r w:rsidRPr="00BA1F6C">
        <w:rPr>
          <w:rFonts w:ascii="Arial" w:hAnsi="Arial" w:cs="Arial"/>
          <w:sz w:val="24"/>
          <w:szCs w:val="24"/>
          <w:lang w:val="en-GB"/>
        </w:rPr>
        <w:t>During therapy effective doses suppress the hypothalamic-pituitary-adrenal axis. Following cessation of treatment, symptoms of adrenal insufficiency extending to adrenocortical atrophy can arise and this may render the animal unable to deal adequately with stressful situations. Consideration should therefore be given to means of minimising problems of adrenal insufficiency following the withdrawal of treatment (for further discussion see standard texts).</w:t>
      </w:r>
    </w:p>
    <w:p w:rsidR="00BA1F6C" w:rsidRPr="00BA1F6C" w:rsidP="00BA1F6C">
      <w:pPr>
        <w:ind w:left="993"/>
        <w:rPr>
          <w:rFonts w:ascii="Arial" w:hAnsi="Arial" w:cs="Arial"/>
          <w:sz w:val="24"/>
          <w:szCs w:val="24"/>
          <w:lang w:val="en-GB"/>
        </w:rPr>
      </w:pPr>
    </w:p>
    <w:p w:rsidR="00BA1F6C" w:rsidRPr="00BA1F6C" w:rsidP="00BA1F6C">
      <w:pPr>
        <w:ind w:left="993"/>
        <w:rPr>
          <w:rFonts w:ascii="Arial" w:hAnsi="Arial" w:cs="Arial"/>
          <w:sz w:val="24"/>
          <w:szCs w:val="24"/>
          <w:lang w:val="en-GB"/>
        </w:rPr>
      </w:pPr>
      <w:r w:rsidRPr="00BA1F6C">
        <w:rPr>
          <w:rFonts w:ascii="Arial" w:hAnsi="Arial" w:cs="Arial"/>
          <w:sz w:val="24"/>
          <w:szCs w:val="24"/>
          <w:lang w:val="en-GB"/>
        </w:rPr>
        <w:t>Systematically administered corticosteroids may cause polyuria, polydipsia and polyphagia, particularly during the early stages of therapy. Some corticosteroids may cause sodium and water retention and hypokalaemia upon long-term use. Systemic corticosteroids have caused deposition of calcium in the skin (calcinosis cutis).</w:t>
      </w:r>
    </w:p>
    <w:p w:rsidR="00BA1F6C" w:rsidRPr="00BA1F6C" w:rsidP="00BA1F6C">
      <w:pPr>
        <w:ind w:left="993"/>
        <w:rPr>
          <w:rFonts w:ascii="Arial" w:hAnsi="Arial" w:cs="Arial"/>
          <w:sz w:val="24"/>
          <w:szCs w:val="24"/>
          <w:lang w:val="en-GB"/>
        </w:rPr>
      </w:pPr>
    </w:p>
    <w:p w:rsidR="00BA1F6C" w:rsidRPr="00BA1F6C" w:rsidP="00BA1F6C">
      <w:pPr>
        <w:ind w:left="993"/>
        <w:rPr>
          <w:rFonts w:ascii="Arial" w:hAnsi="Arial" w:cs="Arial"/>
          <w:sz w:val="24"/>
          <w:szCs w:val="24"/>
          <w:lang w:val="en-GB"/>
        </w:rPr>
      </w:pPr>
      <w:r w:rsidRPr="00BA1F6C">
        <w:rPr>
          <w:rFonts w:ascii="Arial" w:hAnsi="Arial" w:cs="Arial"/>
          <w:sz w:val="24"/>
          <w:szCs w:val="24"/>
          <w:lang w:val="en-GB"/>
        </w:rPr>
        <w:t>Corticosteroids may delay wound healing and the immunosuppressant actions may weaken resistance to or exacerbate existing infections. In the presence of bacterial infection, antibacterial drug cover is usually required when steroids are used. In the presence of viral infections, steroids may worsen or hasten the progress of the disease.</w:t>
      </w:r>
    </w:p>
    <w:p w:rsidR="00BA1F6C" w:rsidRPr="00BA1F6C" w:rsidP="00BA1F6C">
      <w:pPr>
        <w:ind w:left="993"/>
        <w:rPr>
          <w:rFonts w:ascii="Arial" w:hAnsi="Arial" w:cs="Arial"/>
          <w:sz w:val="24"/>
          <w:szCs w:val="24"/>
          <w:lang w:val="en-GB"/>
        </w:rPr>
      </w:pPr>
    </w:p>
    <w:p w:rsidR="00BA1F6C" w:rsidRPr="00BA1F6C" w:rsidP="00BA1F6C">
      <w:pPr>
        <w:ind w:left="993"/>
        <w:rPr>
          <w:rFonts w:ascii="Arial" w:hAnsi="Arial" w:cs="Arial"/>
          <w:sz w:val="24"/>
          <w:szCs w:val="24"/>
          <w:lang w:val="en-GB"/>
        </w:rPr>
      </w:pPr>
      <w:r w:rsidRPr="00BA1F6C">
        <w:rPr>
          <w:rFonts w:ascii="Arial" w:hAnsi="Arial" w:cs="Arial"/>
          <w:sz w:val="24"/>
          <w:szCs w:val="24"/>
          <w:lang w:val="en-GB"/>
        </w:rPr>
        <w:t>Gastrointestinal ulceration has been reported in animals treated with corticosteroids and gastrointestinal ulceration may be exacerbated by steroids in patients given non-steroidal anti-inflammatory drugs and in animals with spinal cord trauma. Steroids may cause enlargement of the liver (hepatomegaly) with increased serum hepatic enzymes.</w:t>
      </w:r>
    </w:p>
    <w:p w:rsidR="00BA1F6C" w:rsidRPr="00BA1F6C" w:rsidP="00BA1F6C">
      <w:pPr>
        <w:ind w:left="993"/>
        <w:rPr>
          <w:rFonts w:ascii="Arial" w:hAnsi="Arial" w:cs="Arial"/>
          <w:sz w:val="24"/>
          <w:szCs w:val="24"/>
          <w:lang w:val="en-GB"/>
        </w:rPr>
      </w:pPr>
    </w:p>
    <w:p w:rsidR="00BA1F6C" w:rsidRPr="00BA1F6C" w:rsidP="00BA1F6C">
      <w:pPr>
        <w:ind w:left="993"/>
        <w:rPr>
          <w:rFonts w:ascii="Arial" w:hAnsi="Arial" w:cs="Arial"/>
          <w:sz w:val="24"/>
          <w:szCs w:val="24"/>
          <w:lang w:val="en-GB"/>
        </w:rPr>
      </w:pPr>
      <w:r w:rsidRPr="00BA1F6C">
        <w:rPr>
          <w:rFonts w:ascii="Arial" w:hAnsi="Arial" w:cs="Arial"/>
          <w:sz w:val="24"/>
          <w:szCs w:val="24"/>
          <w:lang w:val="en-GB"/>
        </w:rPr>
        <w:t>Corticosteroid use  may induce changes in blood biochemical and haematological parameters. Transient hyperglycaemia can occur.</w:t>
      </w:r>
    </w:p>
    <w:p w:rsidR="00BA1F6C" w:rsidRPr="00BA1F6C" w:rsidP="00BA1F6C">
      <w:pPr>
        <w:ind w:left="993"/>
        <w:rPr>
          <w:rFonts w:ascii="Arial" w:hAnsi="Arial" w:cs="Arial"/>
          <w:sz w:val="24"/>
          <w:szCs w:val="24"/>
          <w:lang w:val="en-US"/>
        </w:rPr>
      </w:pPr>
      <w:r w:rsidRPr="00BA1F6C">
        <w:rPr>
          <w:rFonts w:ascii="Arial" w:hAnsi="Arial" w:cs="Arial"/>
          <w:sz w:val="24"/>
          <w:szCs w:val="24"/>
          <w:lang w:val="en-US"/>
        </w:rPr>
        <w:t>If the product is used for induction of parturition in cattle, then a high incidence of retained placentae may be experienced and possible subsequent metritis and/or subfertility. Such use of dexamethasone, particularly at early time points, may be associated with reduced viability of the calf.</w:t>
      </w:r>
    </w:p>
    <w:p w:rsidR="00BA1F6C" w:rsidRPr="00BA1F6C" w:rsidP="00BA1F6C">
      <w:pPr>
        <w:ind w:left="993"/>
        <w:rPr>
          <w:rFonts w:ascii="Arial" w:hAnsi="Arial" w:cs="Arial"/>
          <w:sz w:val="24"/>
          <w:szCs w:val="24"/>
          <w:lang w:val="en-US"/>
        </w:rPr>
      </w:pPr>
    </w:p>
    <w:p w:rsidR="00BA1F6C" w:rsidRPr="00BA1F6C" w:rsidP="00BA1F6C">
      <w:pPr>
        <w:ind w:left="993"/>
        <w:rPr>
          <w:rFonts w:ascii="Arial" w:hAnsi="Arial" w:cs="Arial"/>
          <w:sz w:val="24"/>
          <w:szCs w:val="24"/>
          <w:lang w:val="en-US"/>
        </w:rPr>
      </w:pPr>
      <w:r w:rsidRPr="00BA1F6C">
        <w:rPr>
          <w:rFonts w:ascii="Arial" w:hAnsi="Arial" w:cs="Arial"/>
          <w:sz w:val="24"/>
          <w:szCs w:val="24"/>
          <w:lang w:val="en-US"/>
        </w:rPr>
        <w:t>Corticosteroid use may increase the risk of acute pancreatitis. Other possible adverse reactions associated with corticosteroid use include laminitis and reduction in milk yield.</w:t>
      </w:r>
    </w:p>
    <w:p w:rsidR="00BA1F6C" w:rsidRPr="00BA1F6C" w:rsidP="00BA1F6C">
      <w:pPr>
        <w:ind w:left="993"/>
        <w:rPr>
          <w:rFonts w:ascii="Arial" w:hAnsi="Arial" w:cs="Arial"/>
          <w:sz w:val="24"/>
          <w:szCs w:val="24"/>
          <w:lang w:val="en-US"/>
        </w:rPr>
      </w:pPr>
    </w:p>
    <w:p w:rsidR="00BA1F6C" w:rsidRPr="00BA1F6C" w:rsidP="00BA1F6C">
      <w:pPr>
        <w:ind w:left="993"/>
        <w:rPr>
          <w:rFonts w:ascii="Arial" w:hAnsi="Arial" w:cs="Arial"/>
          <w:sz w:val="24"/>
          <w:szCs w:val="24"/>
          <w:lang w:val="en-US"/>
        </w:rPr>
      </w:pPr>
      <w:r w:rsidRPr="00BA1F6C">
        <w:rPr>
          <w:rFonts w:ascii="Arial" w:hAnsi="Arial" w:cs="Arial"/>
          <w:sz w:val="24"/>
          <w:szCs w:val="24"/>
          <w:lang w:val="en-US"/>
        </w:rPr>
        <w:t xml:space="preserve">The frequency of adverse reactions is defined using the following convention: </w:t>
      </w:r>
    </w:p>
    <w:p w:rsidR="00BA1F6C" w:rsidRPr="00BA1F6C" w:rsidP="00BA1F6C">
      <w:pPr>
        <w:ind w:left="993"/>
        <w:rPr>
          <w:rFonts w:ascii="Arial" w:hAnsi="Arial" w:cs="Arial"/>
          <w:sz w:val="24"/>
          <w:szCs w:val="24"/>
          <w:lang w:val="en-US"/>
        </w:rPr>
      </w:pPr>
      <w:r w:rsidRPr="00BA1F6C">
        <w:rPr>
          <w:rFonts w:ascii="Arial" w:hAnsi="Arial" w:cs="Arial"/>
          <w:sz w:val="24"/>
          <w:szCs w:val="24"/>
          <w:lang w:val="en-US"/>
        </w:rPr>
        <w:t xml:space="preserve">- very common (more than 1 in 10 animals treated displaying adverse reaction(s) </w:t>
      </w:r>
    </w:p>
    <w:p w:rsidR="00BA1F6C" w:rsidRPr="00BA1F6C" w:rsidP="00BA1F6C">
      <w:pPr>
        <w:ind w:left="993"/>
        <w:rPr>
          <w:rFonts w:ascii="Arial" w:hAnsi="Arial" w:cs="Arial"/>
          <w:sz w:val="24"/>
          <w:szCs w:val="24"/>
          <w:lang w:val="en-US"/>
        </w:rPr>
      </w:pPr>
      <w:r w:rsidRPr="00BA1F6C">
        <w:rPr>
          <w:rFonts w:ascii="Arial" w:hAnsi="Arial" w:cs="Arial"/>
          <w:sz w:val="24"/>
          <w:szCs w:val="24"/>
          <w:lang w:val="en-US"/>
        </w:rPr>
        <w:t xml:space="preserve">- common (more than 1 but less than 10 animals in 100 animals treated) </w:t>
      </w:r>
    </w:p>
    <w:p w:rsidR="00BA1F6C" w:rsidRPr="00BA1F6C" w:rsidP="00BA1F6C">
      <w:pPr>
        <w:ind w:left="993"/>
        <w:rPr>
          <w:rFonts w:ascii="Arial" w:hAnsi="Arial" w:cs="Arial"/>
          <w:sz w:val="24"/>
          <w:szCs w:val="24"/>
          <w:lang w:val="en-US"/>
        </w:rPr>
      </w:pPr>
      <w:r w:rsidRPr="00BA1F6C">
        <w:rPr>
          <w:rFonts w:ascii="Arial" w:hAnsi="Arial" w:cs="Arial"/>
          <w:sz w:val="24"/>
          <w:szCs w:val="24"/>
          <w:lang w:val="en-US"/>
        </w:rPr>
        <w:t xml:space="preserve">- uncommon (more than 1 but less than 10 animals in 1,000 animals treated) </w:t>
      </w:r>
    </w:p>
    <w:p w:rsidR="00BA1F6C" w:rsidRPr="00BA1F6C" w:rsidP="00BA1F6C">
      <w:pPr>
        <w:ind w:left="993"/>
        <w:rPr>
          <w:rFonts w:ascii="Arial" w:hAnsi="Arial" w:cs="Arial"/>
          <w:sz w:val="24"/>
          <w:szCs w:val="24"/>
          <w:lang w:val="en-US"/>
        </w:rPr>
      </w:pPr>
      <w:r w:rsidRPr="00BA1F6C">
        <w:rPr>
          <w:rFonts w:ascii="Arial" w:hAnsi="Arial" w:cs="Arial"/>
          <w:sz w:val="24"/>
          <w:szCs w:val="24"/>
          <w:lang w:val="en-US"/>
        </w:rPr>
        <w:t xml:space="preserve">- rare (more than 1 but less than 10 animals in 10,000 animals treated) </w:t>
      </w:r>
    </w:p>
    <w:p w:rsidR="00BA1F6C" w:rsidRPr="00BA1F6C" w:rsidP="00BA1F6C">
      <w:pPr>
        <w:ind w:left="993"/>
        <w:rPr>
          <w:rFonts w:ascii="Arial" w:hAnsi="Arial" w:cs="Arial"/>
          <w:sz w:val="24"/>
          <w:szCs w:val="24"/>
          <w:lang w:val="en-US"/>
        </w:rPr>
      </w:pPr>
      <w:r w:rsidRPr="00BA1F6C">
        <w:rPr>
          <w:rFonts w:ascii="Arial" w:hAnsi="Arial" w:cs="Arial"/>
          <w:sz w:val="24"/>
          <w:szCs w:val="24"/>
          <w:lang w:val="en-US"/>
        </w:rPr>
        <w:t>- very rare (less than 1 animal in 10,000 animals treated, including isolated reports).</w:t>
      </w:r>
    </w:p>
    <w:p w:rsidR="00BA1F6C" w:rsidRPr="00BA1F6C" w:rsidP="00BA1F6C">
      <w:pPr>
        <w:pStyle w:val="Heading5"/>
        <w:spacing w:before="240" w:after="120"/>
        <w:ind w:firstLine="426"/>
        <w:rPr>
          <w:rFonts w:ascii="Arial" w:hAnsi="Arial" w:cs="Arial"/>
          <w:sz w:val="24"/>
          <w:szCs w:val="24"/>
          <w:lang w:val="en-GB"/>
        </w:rPr>
      </w:pPr>
      <w:r>
        <w:rPr>
          <w:rFonts w:ascii="Arial" w:hAnsi="Arial" w:cs="Arial"/>
          <w:sz w:val="24"/>
          <w:szCs w:val="24"/>
          <w:lang w:val="en-GB"/>
        </w:rPr>
        <w:t>4.7</w:t>
      </w:r>
      <w:r w:rsidRPr="00BA1F6C">
        <w:rPr>
          <w:rFonts w:ascii="Arial" w:hAnsi="Arial" w:cs="Arial"/>
          <w:sz w:val="24"/>
          <w:szCs w:val="24"/>
          <w:lang w:val="en-GB"/>
        </w:rPr>
        <w:t xml:space="preserve"> </w:t>
      </w:r>
      <w:r>
        <w:rPr>
          <w:rFonts w:ascii="Arial" w:hAnsi="Arial" w:cs="Arial"/>
          <w:sz w:val="24"/>
          <w:szCs w:val="24"/>
          <w:lang w:val="en-GB"/>
        </w:rPr>
        <w:t xml:space="preserve">   </w:t>
      </w:r>
      <w:r w:rsidRPr="00BA1F6C">
        <w:rPr>
          <w:rFonts w:ascii="Arial" w:hAnsi="Arial" w:cs="Arial"/>
          <w:sz w:val="24"/>
          <w:szCs w:val="24"/>
          <w:lang w:val="en-GB"/>
        </w:rPr>
        <w:t>Use during pregnancy, lactation or lay</w:t>
      </w:r>
    </w:p>
    <w:p w:rsidR="00BA1F6C" w:rsidRPr="00BA1F6C" w:rsidP="00BA1F6C">
      <w:pPr>
        <w:ind w:left="993"/>
        <w:rPr>
          <w:rFonts w:ascii="Arial" w:hAnsi="Arial" w:cs="Arial"/>
          <w:sz w:val="24"/>
          <w:szCs w:val="24"/>
          <w:lang w:val="en-GB"/>
        </w:rPr>
      </w:pPr>
      <w:r w:rsidRPr="00BA1F6C">
        <w:rPr>
          <w:rFonts w:ascii="Arial" w:hAnsi="Arial" w:cs="Arial"/>
          <w:sz w:val="24"/>
          <w:szCs w:val="24"/>
          <w:lang w:val="en-GB"/>
        </w:rPr>
        <w:t>Apart from the use of the product to induce parturition in cattle, corticosteroids are not recommended for use in pregnant animals. Administration in early pregnancy is known to have caused foetal abnormalities in laboratory animals. Administration in late pregnancy may cause early parturition or abortion.</w:t>
      </w:r>
    </w:p>
    <w:p w:rsidR="00BA1F6C" w:rsidRPr="00BA1F6C" w:rsidP="00BA1F6C">
      <w:pPr>
        <w:ind w:left="993"/>
        <w:rPr>
          <w:rFonts w:ascii="Arial" w:hAnsi="Arial" w:cs="Arial"/>
          <w:sz w:val="24"/>
          <w:szCs w:val="24"/>
          <w:lang w:val="en-GB"/>
        </w:rPr>
      </w:pPr>
      <w:r w:rsidRPr="00BA1F6C">
        <w:rPr>
          <w:rFonts w:ascii="Arial" w:hAnsi="Arial" w:cs="Arial"/>
          <w:sz w:val="24"/>
          <w:szCs w:val="24"/>
          <w:lang w:val="en-GB"/>
        </w:rPr>
        <w:t>Use of the product in lactating cows may cause a reduction in milk yield.</w:t>
      </w:r>
    </w:p>
    <w:p w:rsidR="00BA1F6C" w:rsidRPr="00BA1F6C" w:rsidP="00BA1F6C">
      <w:pPr>
        <w:ind w:left="993"/>
        <w:rPr>
          <w:rFonts w:ascii="Arial" w:hAnsi="Arial" w:cs="Arial"/>
          <w:sz w:val="24"/>
          <w:szCs w:val="24"/>
          <w:lang w:val="en-GB"/>
        </w:rPr>
      </w:pPr>
      <w:r w:rsidRPr="00BA1F6C">
        <w:rPr>
          <w:rFonts w:ascii="Arial" w:hAnsi="Arial" w:cs="Arial"/>
          <w:sz w:val="24"/>
          <w:szCs w:val="24"/>
          <w:lang w:val="en-GB"/>
        </w:rPr>
        <w:t>See also section 4.6</w:t>
      </w:r>
    </w:p>
    <w:p w:rsidR="00BA1F6C" w:rsidRPr="00BA1F6C" w:rsidP="00BA1F6C">
      <w:pPr>
        <w:pStyle w:val="Heading5"/>
        <w:spacing w:before="240" w:after="120"/>
        <w:ind w:left="993" w:hanging="568"/>
        <w:rPr>
          <w:rFonts w:ascii="Arial" w:hAnsi="Arial" w:cs="Arial"/>
          <w:sz w:val="24"/>
          <w:szCs w:val="24"/>
          <w:lang w:val="en-GB"/>
        </w:rPr>
      </w:pPr>
      <w:r w:rsidRPr="00BA1F6C">
        <w:rPr>
          <w:rFonts w:ascii="Arial" w:hAnsi="Arial" w:cs="Arial"/>
          <w:sz w:val="24"/>
          <w:szCs w:val="24"/>
          <w:lang w:val="en-GB"/>
        </w:rPr>
        <w:t>4.8</w:t>
        <w:tab/>
        <w:t>Interaction with other medicinal products and other forms of interaction</w:t>
      </w:r>
    </w:p>
    <w:p w:rsidR="00BA1F6C" w:rsidRPr="00BA1F6C" w:rsidP="00BA1F6C">
      <w:pPr>
        <w:ind w:left="993"/>
        <w:rPr>
          <w:rFonts w:ascii="Arial" w:hAnsi="Arial" w:cs="Arial"/>
          <w:sz w:val="24"/>
          <w:szCs w:val="24"/>
          <w:lang w:val="en-GB"/>
        </w:rPr>
      </w:pPr>
      <w:r w:rsidRPr="00BA1F6C">
        <w:rPr>
          <w:rFonts w:ascii="Arial" w:hAnsi="Arial" w:cs="Arial"/>
          <w:sz w:val="24"/>
          <w:szCs w:val="24"/>
          <w:lang w:val="en-GB"/>
        </w:rPr>
        <w:t xml:space="preserve">Concurrent use with non-steroidal anti-inflammatory drugs may exacerbate gastrointestinal tract ulceration. </w:t>
      </w:r>
    </w:p>
    <w:p w:rsidR="00BA1F6C" w:rsidRPr="00BA1F6C" w:rsidP="00BA1F6C">
      <w:pPr>
        <w:ind w:left="993"/>
        <w:rPr>
          <w:rFonts w:ascii="Arial" w:hAnsi="Arial" w:cs="Arial"/>
          <w:sz w:val="24"/>
          <w:szCs w:val="24"/>
          <w:lang w:val="en-GB"/>
        </w:rPr>
      </w:pPr>
      <w:r w:rsidRPr="00BA1F6C">
        <w:rPr>
          <w:rFonts w:ascii="Arial" w:hAnsi="Arial" w:cs="Arial"/>
          <w:sz w:val="24"/>
          <w:szCs w:val="24"/>
          <w:lang w:val="en-GB"/>
        </w:rPr>
        <w:t>Because corticosteroids can reduce the immune response to vaccination, dexamethasone should not be used in combination with vaccines or within two weeks after vaccination.</w:t>
      </w:r>
    </w:p>
    <w:p w:rsidR="00BA1F6C" w:rsidRPr="00BA1F6C" w:rsidP="00BA1F6C">
      <w:pPr>
        <w:ind w:left="993"/>
        <w:rPr>
          <w:rFonts w:ascii="Arial" w:hAnsi="Arial" w:cs="Arial"/>
          <w:sz w:val="24"/>
          <w:szCs w:val="24"/>
          <w:lang w:val="en-GB"/>
        </w:rPr>
      </w:pPr>
      <w:r w:rsidRPr="00BA1F6C">
        <w:rPr>
          <w:rFonts w:ascii="Arial" w:hAnsi="Arial" w:cs="Arial"/>
          <w:sz w:val="24"/>
          <w:szCs w:val="24"/>
          <w:lang w:val="en-GB"/>
        </w:rPr>
        <w:t xml:space="preserve">Administration of dexamethasone may induce hypokalaemia and hence increase the risk of toxicity from cardiac glycosides. The risk of hypokalaemia may be increased if dexamethasone is administered together with potassium depleting diuretics. </w:t>
      </w:r>
    </w:p>
    <w:p w:rsidR="00BA1F6C" w:rsidRPr="00BA1F6C" w:rsidP="00BA1F6C">
      <w:pPr>
        <w:ind w:left="993"/>
        <w:rPr>
          <w:rFonts w:ascii="Arial" w:hAnsi="Arial" w:cs="Arial"/>
          <w:sz w:val="24"/>
          <w:szCs w:val="24"/>
          <w:lang w:val="en-GB"/>
        </w:rPr>
      </w:pPr>
      <w:r w:rsidRPr="00BA1F6C">
        <w:rPr>
          <w:rFonts w:ascii="Arial" w:hAnsi="Arial" w:cs="Arial"/>
          <w:sz w:val="24"/>
          <w:szCs w:val="24"/>
          <w:lang w:val="en-GB"/>
        </w:rPr>
        <w:t xml:space="preserve">Concurrent use with anticholinesterase may lead to increased muscle weakness in patients with myasthenia gravis.  </w:t>
      </w:r>
    </w:p>
    <w:p w:rsidR="00BA1F6C" w:rsidRPr="00BA1F6C" w:rsidP="00BA1F6C">
      <w:pPr>
        <w:ind w:left="993"/>
        <w:rPr>
          <w:rFonts w:ascii="Arial" w:hAnsi="Arial" w:cs="Arial"/>
          <w:sz w:val="24"/>
          <w:szCs w:val="24"/>
          <w:lang w:val="en-GB"/>
        </w:rPr>
      </w:pPr>
      <w:r w:rsidRPr="00BA1F6C">
        <w:rPr>
          <w:rFonts w:ascii="Arial" w:hAnsi="Arial" w:cs="Arial"/>
          <w:sz w:val="24"/>
          <w:szCs w:val="24"/>
          <w:lang w:val="en-GB"/>
        </w:rPr>
        <w:t xml:space="preserve">Glucocorticoids antagonise the effects of insulin. </w:t>
      </w:r>
    </w:p>
    <w:p w:rsidR="00BA1F6C" w:rsidRPr="00BA1F6C" w:rsidP="00BA1F6C">
      <w:pPr>
        <w:ind w:left="993"/>
        <w:rPr>
          <w:rFonts w:ascii="Arial" w:hAnsi="Arial" w:cs="Arial"/>
          <w:sz w:val="24"/>
          <w:szCs w:val="24"/>
          <w:lang w:val="en-GB"/>
        </w:rPr>
      </w:pPr>
      <w:r w:rsidRPr="00BA1F6C">
        <w:rPr>
          <w:rFonts w:ascii="Arial" w:hAnsi="Arial" w:cs="Arial"/>
          <w:sz w:val="24"/>
          <w:szCs w:val="24"/>
          <w:lang w:val="en-GB"/>
        </w:rPr>
        <w:t xml:space="preserve">Concurrent use with phenobarbital, phenytoin and rifampicin can reduce the effects of dexamethasone. </w:t>
      </w:r>
    </w:p>
    <w:p w:rsidR="00BA1F6C" w:rsidRPr="00BA1F6C" w:rsidP="00BA1F6C">
      <w:pPr>
        <w:pStyle w:val="Heading5"/>
        <w:spacing w:before="240" w:after="120"/>
        <w:ind w:left="993" w:hanging="568"/>
        <w:rPr>
          <w:rFonts w:ascii="Arial" w:hAnsi="Arial" w:cs="Arial"/>
          <w:sz w:val="24"/>
          <w:szCs w:val="24"/>
          <w:lang w:val="en-GB"/>
        </w:rPr>
      </w:pPr>
      <w:r w:rsidRPr="00BA1F6C">
        <w:rPr>
          <w:rFonts w:ascii="Arial" w:hAnsi="Arial" w:cs="Arial"/>
          <w:sz w:val="24"/>
          <w:szCs w:val="24"/>
          <w:lang w:val="en-GB"/>
        </w:rPr>
        <w:t>4.9</w:t>
        <w:tab/>
        <w:t>Amounts to be administered and administration route</w:t>
      </w:r>
    </w:p>
    <w:p w:rsidR="00BA1F6C" w:rsidRPr="00BA1F6C" w:rsidP="00BA1F6C">
      <w:pPr>
        <w:pStyle w:val="NormalIndent"/>
        <w:ind w:left="993"/>
        <w:rPr>
          <w:rFonts w:ascii="Arial" w:hAnsi="Arial" w:cs="Arial"/>
          <w:sz w:val="24"/>
          <w:szCs w:val="24"/>
          <w:lang w:val="en-GB"/>
        </w:rPr>
      </w:pPr>
      <w:r w:rsidRPr="00BA1F6C">
        <w:rPr>
          <w:rFonts w:ascii="Arial" w:hAnsi="Arial" w:cs="Arial"/>
          <w:sz w:val="24"/>
          <w:szCs w:val="24"/>
          <w:lang w:val="en-GB"/>
        </w:rPr>
        <w:t xml:space="preserve">The product may be administered by </w:t>
      </w:r>
      <w:r w:rsidRPr="00BA1F6C">
        <w:rPr>
          <w:rFonts w:ascii="Arial" w:hAnsi="Arial" w:cs="Arial"/>
          <w:sz w:val="24"/>
          <w:szCs w:val="24"/>
          <w:lang w:val="en-US"/>
        </w:rPr>
        <w:t>intravenous or</w:t>
      </w:r>
      <w:r w:rsidRPr="00BA1F6C">
        <w:rPr>
          <w:rFonts w:ascii="Arial" w:hAnsi="Arial" w:cs="Arial"/>
          <w:sz w:val="24"/>
          <w:szCs w:val="24"/>
          <w:lang w:val="en-GB"/>
        </w:rPr>
        <w:t xml:space="preserve"> intramuscular injection in horses, and by intramuscular injection in cattle, pigs, dogs and cats. </w:t>
      </w:r>
      <w:r w:rsidRPr="00BA1F6C">
        <w:rPr>
          <w:rFonts w:ascii="Arial" w:hAnsi="Arial" w:cs="Arial"/>
          <w:sz w:val="24"/>
          <w:szCs w:val="24"/>
          <w:lang w:val="en-US"/>
        </w:rPr>
        <w:t xml:space="preserve">The product may also be given by intra-articular injection in horses. </w:t>
      </w:r>
      <w:r w:rsidRPr="00BA1F6C">
        <w:rPr>
          <w:rFonts w:ascii="Arial" w:hAnsi="Arial" w:cs="Arial"/>
          <w:sz w:val="24"/>
          <w:szCs w:val="24"/>
          <w:lang w:val="en-GB"/>
        </w:rPr>
        <w:t>Normal aseptic technique should be observed. To measure small volumes of less than 1 ml a suitably graduated syringe should be used to ensure accurate administration of the correct dose.</w:t>
      </w:r>
    </w:p>
    <w:p w:rsidR="00BA1F6C" w:rsidRPr="00BA1F6C" w:rsidP="00BA1F6C">
      <w:pPr>
        <w:tabs>
          <w:tab w:val="left" w:pos="990"/>
          <w:tab w:val="left" w:pos="2160"/>
        </w:tabs>
        <w:rPr>
          <w:rFonts w:ascii="Arial" w:hAnsi="Arial" w:cs="Arial"/>
          <w:sz w:val="24"/>
          <w:szCs w:val="24"/>
          <w:lang w:val="en-GB"/>
        </w:rPr>
      </w:pPr>
    </w:p>
    <w:p w:rsidR="00BA1F6C" w:rsidRPr="00BA1F6C" w:rsidP="0030699C">
      <w:pPr>
        <w:tabs>
          <w:tab w:val="left" w:pos="990"/>
          <w:tab w:val="left" w:pos="2160"/>
        </w:tabs>
        <w:ind w:left="990"/>
        <w:rPr>
          <w:rFonts w:ascii="Arial" w:hAnsi="Arial" w:cs="Arial"/>
          <w:sz w:val="24"/>
          <w:szCs w:val="24"/>
          <w:lang w:val="en-GB"/>
        </w:rPr>
      </w:pPr>
      <w:r w:rsidRPr="00BA1F6C">
        <w:rPr>
          <w:rFonts w:ascii="Arial" w:hAnsi="Arial" w:cs="Arial"/>
          <w:sz w:val="24"/>
          <w:szCs w:val="24"/>
          <w:u w:val="single"/>
          <w:lang w:val="en-GB"/>
        </w:rPr>
        <w:t>For the treatment of inflammatory or allergic conditions</w:t>
      </w:r>
      <w:r w:rsidRPr="00BA1F6C">
        <w:rPr>
          <w:rFonts w:ascii="Arial" w:hAnsi="Arial" w:cs="Arial"/>
          <w:sz w:val="24"/>
          <w:szCs w:val="24"/>
          <w:lang w:val="en-GB"/>
        </w:rPr>
        <w:t xml:space="preserve"> the following average doses are advised. </w:t>
        <w:tab/>
        <w:t xml:space="preserve">However the actual dose used should be determined by the severity of the signs and the length of </w:t>
        <w:tab/>
        <w:t>time for which they have been present.</w:t>
      </w:r>
    </w:p>
    <w:p w:rsidR="00BA1F6C" w:rsidRPr="00BA1F6C" w:rsidP="00BA1F6C">
      <w:pPr>
        <w:tabs>
          <w:tab w:val="left" w:pos="990"/>
          <w:tab w:val="left" w:pos="2160"/>
        </w:tabs>
        <w:rPr>
          <w:rFonts w:ascii="Arial" w:hAnsi="Arial" w:cs="Arial"/>
          <w:sz w:val="24"/>
          <w:szCs w:val="24"/>
          <w:lang w:val="en-GB"/>
        </w:rPr>
      </w:pPr>
    </w:p>
    <w:p w:rsidR="00BA1F6C" w:rsidRPr="00BA1F6C" w:rsidP="00BA1F6C">
      <w:pPr>
        <w:tabs>
          <w:tab w:val="left" w:pos="990"/>
          <w:tab w:val="left" w:pos="2160"/>
        </w:tabs>
        <w:rPr>
          <w:rFonts w:ascii="Arial" w:hAnsi="Arial" w:cs="Arial"/>
          <w:i/>
          <w:sz w:val="24"/>
          <w:szCs w:val="24"/>
          <w:lang w:val="en-GB"/>
        </w:rPr>
      </w:pPr>
      <w:r w:rsidRPr="00BA1F6C">
        <w:rPr>
          <w:rFonts w:ascii="Arial" w:hAnsi="Arial" w:cs="Arial"/>
          <w:i/>
          <w:sz w:val="24"/>
          <w:szCs w:val="24"/>
          <w:lang w:val="en-GB"/>
        </w:rPr>
        <w:tab/>
        <w:t>Species</w:t>
        <w:tab/>
        <w:tab/>
        <w:tab/>
        <w:tab/>
        <w:t>Dosage</w:t>
      </w:r>
    </w:p>
    <w:p w:rsidR="00BA1F6C" w:rsidRPr="00BA1F6C" w:rsidP="00BA1F6C">
      <w:pPr>
        <w:tabs>
          <w:tab w:val="left" w:pos="990"/>
          <w:tab w:val="left" w:pos="2160"/>
        </w:tabs>
        <w:rPr>
          <w:rFonts w:ascii="Arial" w:hAnsi="Arial" w:cs="Arial"/>
          <w:lang w:val="en-GB"/>
        </w:rPr>
      </w:pPr>
      <w:r w:rsidRPr="00BA1F6C">
        <w:rPr>
          <w:rFonts w:ascii="Arial" w:hAnsi="Arial" w:cs="Arial"/>
          <w:sz w:val="24"/>
          <w:szCs w:val="24"/>
          <w:lang w:val="en-GB"/>
        </w:rPr>
        <w:tab/>
      </w:r>
      <w:r w:rsidRPr="00BA1F6C">
        <w:rPr>
          <w:rFonts w:ascii="Arial" w:hAnsi="Arial" w:cs="Arial"/>
          <w:lang w:val="en-GB"/>
        </w:rPr>
        <w:t>Horses, cattle, pigs</w:t>
        <w:tab/>
        <w:tab/>
        <w:t>0.06 mg/kg body weight corresponding to 1.5 ml/50 kg</w:t>
      </w:r>
    </w:p>
    <w:p w:rsidR="00BA1F6C" w:rsidRPr="00BA1F6C" w:rsidP="00BA1F6C">
      <w:pPr>
        <w:tabs>
          <w:tab w:val="left" w:pos="990"/>
          <w:tab w:val="left" w:pos="2160"/>
        </w:tabs>
        <w:rPr>
          <w:rFonts w:ascii="Arial" w:hAnsi="Arial" w:cs="Arial"/>
          <w:lang w:val="en-GB"/>
        </w:rPr>
      </w:pPr>
      <w:r w:rsidRPr="00BA1F6C">
        <w:rPr>
          <w:rFonts w:ascii="Arial" w:hAnsi="Arial" w:cs="Arial"/>
          <w:lang w:val="en-GB"/>
        </w:rPr>
        <w:tab/>
        <w:t>Dogs, cats</w:t>
        <w:tab/>
        <w:tab/>
        <w:tab/>
        <w:tab/>
        <w:t xml:space="preserve">0.1 mg/kg body weight corresponding to 0.5 ml/10 kg  </w:t>
      </w:r>
    </w:p>
    <w:p w:rsidR="00BA1F6C" w:rsidRPr="00BA1F6C" w:rsidP="00BA1F6C">
      <w:pPr>
        <w:tabs>
          <w:tab w:val="left" w:pos="993"/>
        </w:tabs>
        <w:ind w:left="993"/>
        <w:rPr>
          <w:rFonts w:ascii="Arial" w:hAnsi="Arial" w:cs="Arial"/>
          <w:sz w:val="24"/>
          <w:szCs w:val="24"/>
          <w:lang w:val="en-GB"/>
        </w:rPr>
      </w:pPr>
    </w:p>
    <w:p w:rsidR="00BA1F6C" w:rsidRPr="00BA1F6C" w:rsidP="00BA1F6C">
      <w:pPr>
        <w:pStyle w:val="NormalIndent"/>
        <w:ind w:left="993"/>
        <w:rPr>
          <w:rFonts w:ascii="Arial" w:hAnsi="Arial" w:cs="Arial"/>
          <w:sz w:val="24"/>
          <w:szCs w:val="24"/>
          <w:lang w:val="en-GB"/>
        </w:rPr>
      </w:pPr>
      <w:r w:rsidRPr="00BA1F6C">
        <w:rPr>
          <w:rFonts w:ascii="Arial" w:hAnsi="Arial" w:cs="Arial"/>
          <w:sz w:val="24"/>
          <w:szCs w:val="24"/>
          <w:u w:val="single"/>
          <w:lang w:val="en-GB"/>
        </w:rPr>
        <w:t>For the treatment of primary ketosis in cattle (acetonaemia)</w:t>
      </w:r>
      <w:r w:rsidRPr="00BA1F6C">
        <w:rPr>
          <w:rFonts w:ascii="Arial" w:hAnsi="Arial" w:cs="Arial"/>
          <w:sz w:val="24"/>
          <w:szCs w:val="24"/>
          <w:lang w:val="en-GB"/>
        </w:rPr>
        <w:t xml:space="preserve"> 0.02 to 0.04 mg/kg body weight corresponding to a dose of 5-10 ml per 500 kg BW given by intramuscular injection is advocated dependent on the size of the cow and the duration of the signs. Care should be taken not to overdose Channel Island breeds. Larger doses will be required if the signs have been present for some time or if relapsed animals are being treated.</w:t>
      </w:r>
    </w:p>
    <w:p w:rsidR="00BA1F6C" w:rsidRPr="00BA1F6C" w:rsidP="00BA1F6C">
      <w:pPr>
        <w:tabs>
          <w:tab w:val="left" w:pos="990"/>
          <w:tab w:val="left" w:pos="2160"/>
        </w:tabs>
        <w:rPr>
          <w:rFonts w:ascii="Arial" w:hAnsi="Arial" w:cs="Arial"/>
          <w:sz w:val="24"/>
          <w:szCs w:val="24"/>
          <w:lang w:val="en-GB"/>
        </w:rPr>
      </w:pPr>
    </w:p>
    <w:p w:rsidR="00BA1F6C" w:rsidRPr="00BA1F6C" w:rsidP="00BA1F6C">
      <w:pPr>
        <w:tabs>
          <w:tab w:val="left" w:pos="990"/>
          <w:tab w:val="left" w:pos="2160"/>
        </w:tabs>
        <w:ind w:left="990"/>
        <w:rPr>
          <w:rFonts w:ascii="Arial" w:hAnsi="Arial" w:cs="Arial"/>
          <w:sz w:val="24"/>
          <w:szCs w:val="24"/>
          <w:lang w:val="en-GB"/>
        </w:rPr>
      </w:pPr>
      <w:r w:rsidRPr="00BA1F6C">
        <w:rPr>
          <w:rFonts w:ascii="Arial" w:hAnsi="Arial" w:cs="Arial"/>
          <w:sz w:val="24"/>
          <w:szCs w:val="24"/>
          <w:u w:val="single"/>
          <w:lang w:val="en-GB"/>
        </w:rPr>
        <w:t>For the induction of parturition</w:t>
      </w:r>
      <w:r w:rsidRPr="00BA1F6C">
        <w:rPr>
          <w:rFonts w:ascii="Arial" w:hAnsi="Arial" w:cs="Arial"/>
          <w:sz w:val="24"/>
          <w:szCs w:val="24"/>
          <w:lang w:val="en-GB"/>
        </w:rPr>
        <w:t xml:space="preserve"> - to avoid foetal oversize and mammary oedema in cattle. </w:t>
      </w:r>
    </w:p>
    <w:p w:rsidR="00BA1F6C" w:rsidRPr="00BA1F6C" w:rsidP="00BA1F6C">
      <w:pPr>
        <w:tabs>
          <w:tab w:val="left" w:pos="993"/>
        </w:tabs>
        <w:ind w:left="990"/>
        <w:rPr>
          <w:rFonts w:ascii="Arial" w:hAnsi="Arial" w:cs="Arial"/>
          <w:sz w:val="24"/>
          <w:szCs w:val="24"/>
          <w:lang w:val="en-GB"/>
        </w:rPr>
      </w:pPr>
      <w:r w:rsidRPr="00BA1F6C">
        <w:rPr>
          <w:rFonts w:ascii="Arial" w:hAnsi="Arial" w:cs="Arial"/>
          <w:sz w:val="24"/>
          <w:szCs w:val="24"/>
          <w:lang w:val="en-GB"/>
        </w:rPr>
        <w:tab/>
        <w:t>A single intramuscular injection of 0.04 mg/kg body weight corresponding to 10 ml per 500 kg BW after day 260 of pregnancy.</w:t>
      </w:r>
    </w:p>
    <w:p w:rsidR="00BA1F6C" w:rsidRPr="00BA1F6C" w:rsidP="00BA1F6C">
      <w:pPr>
        <w:tabs>
          <w:tab w:val="left" w:pos="990"/>
          <w:tab w:val="left" w:pos="2160"/>
        </w:tabs>
        <w:rPr>
          <w:rFonts w:ascii="Arial" w:hAnsi="Arial" w:cs="Arial"/>
          <w:sz w:val="24"/>
          <w:szCs w:val="24"/>
          <w:lang w:val="en-GB"/>
        </w:rPr>
      </w:pPr>
      <w:r w:rsidRPr="00BA1F6C">
        <w:rPr>
          <w:rFonts w:ascii="Arial" w:hAnsi="Arial" w:cs="Arial"/>
          <w:sz w:val="24"/>
          <w:szCs w:val="24"/>
          <w:lang w:val="en-GB"/>
        </w:rPr>
        <w:tab/>
        <w:t>Parturition will normally occur within 48-72 hours.</w:t>
      </w:r>
    </w:p>
    <w:p w:rsidR="00BA1F6C" w:rsidRPr="00BA1F6C" w:rsidP="00BA1F6C">
      <w:pPr>
        <w:tabs>
          <w:tab w:val="left" w:pos="990"/>
          <w:tab w:val="left" w:pos="2160"/>
        </w:tabs>
        <w:rPr>
          <w:rFonts w:ascii="Arial" w:hAnsi="Arial" w:cs="Arial"/>
          <w:sz w:val="24"/>
          <w:szCs w:val="24"/>
          <w:lang w:val="en-GB"/>
        </w:rPr>
      </w:pPr>
    </w:p>
    <w:p w:rsidR="00BA1F6C" w:rsidRPr="00BA1F6C" w:rsidP="00BA1F6C">
      <w:pPr>
        <w:ind w:left="993"/>
        <w:rPr>
          <w:rFonts w:ascii="Arial" w:hAnsi="Arial" w:cs="Arial"/>
          <w:sz w:val="24"/>
          <w:szCs w:val="24"/>
          <w:lang w:val="en-GB"/>
        </w:rPr>
      </w:pPr>
      <w:r w:rsidRPr="00BA1F6C">
        <w:rPr>
          <w:rFonts w:ascii="Arial" w:hAnsi="Arial" w:cs="Arial"/>
          <w:sz w:val="24"/>
          <w:szCs w:val="24"/>
          <w:u w:val="single"/>
          <w:lang w:val="en-GB"/>
        </w:rPr>
        <w:t>For the treatment of arthritis, bursitis or tenosynovitis</w:t>
      </w:r>
      <w:r w:rsidRPr="00BA1F6C">
        <w:rPr>
          <w:rFonts w:ascii="Arial" w:hAnsi="Arial" w:cs="Arial"/>
          <w:sz w:val="24"/>
          <w:szCs w:val="24"/>
          <w:lang w:val="en-GB"/>
        </w:rPr>
        <w:t xml:space="preserve"> by intra-articular injection in the horse.</w:t>
      </w:r>
    </w:p>
    <w:p w:rsidR="00BA1F6C" w:rsidRPr="00BA1F6C" w:rsidP="00BA1F6C">
      <w:pPr>
        <w:ind w:left="993"/>
        <w:rPr>
          <w:rFonts w:ascii="Arial" w:hAnsi="Arial" w:cs="Arial"/>
          <w:sz w:val="24"/>
          <w:szCs w:val="24"/>
          <w:lang w:val="en-GB"/>
        </w:rPr>
      </w:pPr>
      <w:r w:rsidRPr="00BA1F6C">
        <w:rPr>
          <w:rFonts w:ascii="Arial" w:hAnsi="Arial" w:cs="Arial"/>
          <w:sz w:val="24"/>
          <w:szCs w:val="24"/>
          <w:lang w:val="en-GB"/>
        </w:rPr>
        <w:t xml:space="preserve">Dose </w:t>
        <w:tab/>
        <w:t>1 - 5 ml</w:t>
      </w:r>
    </w:p>
    <w:p w:rsidR="00BA1F6C" w:rsidRPr="00BA1F6C" w:rsidP="00BA1F6C">
      <w:pPr>
        <w:ind w:left="993"/>
        <w:rPr>
          <w:rFonts w:ascii="Arial" w:hAnsi="Arial" w:cs="Arial"/>
          <w:sz w:val="24"/>
          <w:szCs w:val="24"/>
          <w:lang w:val="en-GB"/>
        </w:rPr>
      </w:pPr>
      <w:r w:rsidRPr="00BA1F6C">
        <w:rPr>
          <w:rFonts w:ascii="Arial" w:hAnsi="Arial" w:cs="Arial"/>
          <w:sz w:val="24"/>
          <w:szCs w:val="24"/>
          <w:lang w:val="en-GB"/>
        </w:rPr>
        <w:t>These quantities are not specific and are quoted purely as a guide. Injections into joint spaces or bursae should be preceded by the removal of an equivalent volume of synovial fluid. Strict asepsis is essential.</w:t>
      </w:r>
    </w:p>
    <w:p w:rsidR="00BA1F6C" w:rsidRPr="00BA1F6C" w:rsidP="00BA1F6C">
      <w:pPr>
        <w:pStyle w:val="Heading5"/>
        <w:spacing w:before="240" w:after="120"/>
        <w:ind w:left="993" w:hanging="568"/>
        <w:rPr>
          <w:rFonts w:ascii="Arial" w:hAnsi="Arial" w:cs="Arial"/>
          <w:sz w:val="24"/>
          <w:szCs w:val="24"/>
          <w:lang w:val="en-GB"/>
        </w:rPr>
      </w:pPr>
      <w:r w:rsidRPr="00BA1F6C">
        <w:rPr>
          <w:rFonts w:ascii="Arial" w:hAnsi="Arial" w:cs="Arial"/>
          <w:sz w:val="24"/>
          <w:szCs w:val="24"/>
          <w:lang w:val="en-GB"/>
        </w:rPr>
        <w:t>4.10</w:t>
        <w:tab/>
        <w:t>Overdose (symptoms, emergency procedures, antidotes), if necessary</w:t>
      </w:r>
    </w:p>
    <w:p w:rsidR="00BA1F6C" w:rsidRPr="00BA1F6C" w:rsidP="00BA1F6C">
      <w:pPr>
        <w:tabs>
          <w:tab w:val="left" w:pos="1440"/>
        </w:tabs>
        <w:ind w:left="990"/>
        <w:rPr>
          <w:rFonts w:ascii="Arial" w:hAnsi="Arial" w:cs="Arial"/>
          <w:sz w:val="24"/>
          <w:szCs w:val="24"/>
          <w:lang w:val="en-GB"/>
        </w:rPr>
      </w:pPr>
      <w:r w:rsidRPr="00BA1F6C">
        <w:rPr>
          <w:rFonts w:ascii="Arial" w:hAnsi="Arial" w:cs="Arial"/>
          <w:sz w:val="24"/>
          <w:szCs w:val="24"/>
          <w:lang w:val="en-GB"/>
        </w:rPr>
        <w:t>An overdose can induce drowsiness and lethargy in horses.</w:t>
      </w:r>
    </w:p>
    <w:p w:rsidR="00BA1F6C" w:rsidRPr="00BA1F6C" w:rsidP="00BA1F6C">
      <w:pPr>
        <w:tabs>
          <w:tab w:val="left" w:pos="1440"/>
        </w:tabs>
        <w:ind w:left="990"/>
        <w:rPr>
          <w:rFonts w:ascii="Arial" w:hAnsi="Arial" w:cs="Arial"/>
          <w:sz w:val="24"/>
          <w:szCs w:val="24"/>
          <w:lang w:val="en-GB"/>
        </w:rPr>
      </w:pPr>
      <w:r w:rsidRPr="00BA1F6C">
        <w:rPr>
          <w:rFonts w:ascii="Arial" w:hAnsi="Arial" w:cs="Arial"/>
          <w:sz w:val="24"/>
          <w:szCs w:val="24"/>
          <w:lang w:val="en-GB"/>
        </w:rPr>
        <w:t>See also section 4.6.</w:t>
      </w:r>
    </w:p>
    <w:p w:rsidR="00BA1F6C" w:rsidRPr="00BA1F6C" w:rsidP="00BA1F6C">
      <w:pPr>
        <w:pStyle w:val="Heading5"/>
        <w:spacing w:before="240" w:after="120"/>
        <w:ind w:left="993" w:hanging="568"/>
        <w:rPr>
          <w:rFonts w:ascii="Arial" w:hAnsi="Arial" w:cs="Arial"/>
          <w:sz w:val="24"/>
          <w:szCs w:val="24"/>
          <w:lang w:val="en-GB"/>
        </w:rPr>
      </w:pPr>
      <w:r w:rsidRPr="00BA1F6C">
        <w:rPr>
          <w:rFonts w:ascii="Arial" w:hAnsi="Arial" w:cs="Arial"/>
          <w:sz w:val="24"/>
          <w:szCs w:val="24"/>
          <w:lang w:val="en-GB"/>
        </w:rPr>
        <w:t>4.11</w:t>
        <w:tab/>
        <w:t>Withdrawal periods</w:t>
      </w:r>
    </w:p>
    <w:p w:rsidR="00BA1F6C" w:rsidRPr="00BA1F6C" w:rsidP="00BA1F6C">
      <w:pPr>
        <w:autoSpaceDE w:val="0"/>
        <w:autoSpaceDN w:val="0"/>
        <w:adjustRightInd w:val="0"/>
        <w:ind w:left="285" w:firstLine="708"/>
        <w:rPr>
          <w:rFonts w:ascii="Arial" w:hAnsi="Arial" w:cs="Arial"/>
          <w:sz w:val="24"/>
          <w:szCs w:val="24"/>
          <w:lang w:val="en-GB"/>
        </w:rPr>
      </w:pPr>
    </w:p>
    <w:p w:rsidR="00BA1F6C" w:rsidRPr="00BA1F6C" w:rsidP="00BA1F6C">
      <w:pPr>
        <w:autoSpaceDE w:val="0"/>
        <w:autoSpaceDN w:val="0"/>
        <w:adjustRightInd w:val="0"/>
        <w:ind w:left="285" w:firstLine="708"/>
        <w:rPr>
          <w:rFonts w:ascii="Arial" w:hAnsi="Arial" w:cs="Arial"/>
          <w:sz w:val="24"/>
          <w:szCs w:val="24"/>
          <w:lang w:val="en-GB"/>
        </w:rPr>
      </w:pPr>
      <w:r w:rsidRPr="00BA1F6C">
        <w:rPr>
          <w:rFonts w:ascii="Arial" w:hAnsi="Arial" w:cs="Arial"/>
          <w:sz w:val="24"/>
          <w:szCs w:val="24"/>
          <w:lang w:val="en-GB"/>
        </w:rPr>
        <w:t>Cattle:</w:t>
        <w:tab/>
        <w:t>Meat and offal:</w:t>
        <w:tab/>
        <w:t>8 days</w:t>
      </w:r>
    </w:p>
    <w:p w:rsidR="00BA1F6C" w:rsidRPr="00BA1F6C" w:rsidP="00BA1F6C">
      <w:pPr>
        <w:autoSpaceDE w:val="0"/>
        <w:autoSpaceDN w:val="0"/>
        <w:adjustRightInd w:val="0"/>
        <w:ind w:left="1416" w:firstLine="708"/>
        <w:rPr>
          <w:rFonts w:ascii="Arial" w:hAnsi="Arial" w:cs="Arial"/>
          <w:sz w:val="24"/>
          <w:szCs w:val="24"/>
          <w:lang w:val="en-GB"/>
        </w:rPr>
      </w:pPr>
      <w:r w:rsidRPr="00BA1F6C">
        <w:rPr>
          <w:rFonts w:ascii="Arial" w:hAnsi="Arial" w:cs="Arial"/>
          <w:sz w:val="24"/>
          <w:szCs w:val="24"/>
          <w:lang w:val="en-GB"/>
        </w:rPr>
        <w:t xml:space="preserve">Milk: </w:t>
        <w:tab/>
        <w:tab/>
      </w:r>
      <w:r>
        <w:rPr>
          <w:rFonts w:ascii="Arial" w:hAnsi="Arial" w:cs="Arial"/>
          <w:sz w:val="24"/>
          <w:szCs w:val="24"/>
          <w:lang w:val="en-GB"/>
        </w:rPr>
        <w:tab/>
      </w:r>
      <w:r w:rsidRPr="00BA1F6C">
        <w:rPr>
          <w:rFonts w:ascii="Arial" w:hAnsi="Arial" w:cs="Arial"/>
          <w:sz w:val="24"/>
          <w:szCs w:val="24"/>
          <w:lang w:val="en-GB"/>
        </w:rPr>
        <w:t>72 hours</w:t>
      </w:r>
    </w:p>
    <w:p w:rsidR="00BA1F6C" w:rsidRPr="00BA1F6C" w:rsidP="00BA1F6C">
      <w:pPr>
        <w:autoSpaceDE w:val="0"/>
        <w:autoSpaceDN w:val="0"/>
        <w:adjustRightInd w:val="0"/>
        <w:ind w:left="285" w:firstLine="708"/>
        <w:rPr>
          <w:rFonts w:ascii="Arial" w:hAnsi="Arial" w:cs="Arial"/>
          <w:sz w:val="24"/>
          <w:szCs w:val="24"/>
          <w:lang w:val="en-GB"/>
        </w:rPr>
      </w:pPr>
      <w:r w:rsidRPr="00BA1F6C">
        <w:rPr>
          <w:rFonts w:ascii="Arial" w:hAnsi="Arial" w:cs="Arial"/>
          <w:sz w:val="24"/>
          <w:szCs w:val="24"/>
          <w:lang w:val="en-GB"/>
        </w:rPr>
        <w:t>Pigs:</w:t>
        <w:tab/>
        <w:t>Meat and offal:</w:t>
        <w:tab/>
        <w:t>2 days</w:t>
      </w:r>
    </w:p>
    <w:p w:rsidR="00BA1F6C" w:rsidRPr="00BA1F6C" w:rsidP="00BA1F6C">
      <w:pPr>
        <w:autoSpaceDE w:val="0"/>
        <w:autoSpaceDN w:val="0"/>
        <w:adjustRightInd w:val="0"/>
        <w:ind w:left="285" w:firstLine="708"/>
        <w:rPr>
          <w:rFonts w:ascii="Arial" w:hAnsi="Arial" w:cs="Arial"/>
          <w:sz w:val="24"/>
          <w:szCs w:val="24"/>
          <w:lang w:val="en-GB"/>
        </w:rPr>
      </w:pPr>
      <w:r w:rsidRPr="00BA1F6C">
        <w:rPr>
          <w:rFonts w:ascii="Arial" w:hAnsi="Arial" w:cs="Arial"/>
          <w:sz w:val="24"/>
          <w:szCs w:val="24"/>
          <w:lang w:val="en-GB"/>
        </w:rPr>
        <w:t xml:space="preserve">Horses: </w:t>
        <w:tab/>
        <w:t>Meat and offal:</w:t>
        <w:tab/>
        <w:t>8 days</w:t>
      </w:r>
    </w:p>
    <w:p w:rsidR="00BA1F6C" w:rsidRPr="00BA1F6C" w:rsidP="00BA1F6C">
      <w:pPr>
        <w:pStyle w:val="Heading2"/>
        <w:spacing w:before="360" w:after="120" w:line="240" w:lineRule="auto"/>
        <w:ind w:left="426" w:firstLine="567"/>
        <w:rPr>
          <w:rFonts w:ascii="Arial" w:hAnsi="Arial" w:cs="Arial"/>
          <w:b w:val="0"/>
          <w:sz w:val="24"/>
          <w:szCs w:val="24"/>
          <w:lang w:val="en-GB"/>
        </w:rPr>
      </w:pPr>
      <w:r w:rsidRPr="00BA1F6C">
        <w:rPr>
          <w:rFonts w:ascii="Arial" w:hAnsi="Arial" w:cs="Arial"/>
          <w:b w:val="0"/>
          <w:sz w:val="24"/>
          <w:szCs w:val="24"/>
          <w:lang w:val="en-GB"/>
        </w:rPr>
        <w:t>Not permitted for use in horses producing milk for human consumption.</w:t>
      </w:r>
    </w:p>
    <w:p w:rsidR="00BA1F6C" w:rsidRPr="00BA1F6C" w:rsidP="00BA1F6C">
      <w:pPr>
        <w:pStyle w:val="Heading2"/>
        <w:spacing w:before="360" w:after="120" w:line="240" w:lineRule="auto"/>
        <w:ind w:left="426" w:hanging="426"/>
        <w:rPr>
          <w:rFonts w:ascii="Arial" w:hAnsi="Arial" w:cs="Arial"/>
          <w:sz w:val="24"/>
          <w:szCs w:val="24"/>
          <w:lang w:val="en-GB"/>
        </w:rPr>
      </w:pPr>
      <w:r w:rsidRPr="00BA1F6C">
        <w:rPr>
          <w:rFonts w:ascii="Arial" w:hAnsi="Arial" w:cs="Arial"/>
          <w:sz w:val="24"/>
          <w:szCs w:val="24"/>
          <w:lang w:val="en-GB"/>
        </w:rPr>
        <w:t>5.</w:t>
        <w:tab/>
      </w:r>
      <w:r w:rsidRPr="00BA1F6C">
        <w:rPr>
          <w:rFonts w:ascii="Arial" w:hAnsi="Arial" w:cs="Arial"/>
          <w:caps/>
          <w:sz w:val="24"/>
          <w:szCs w:val="24"/>
          <w:lang w:val="en-GB"/>
        </w:rPr>
        <w:t>Pharmacological Properties</w:t>
      </w:r>
    </w:p>
    <w:p w:rsidR="00BA1F6C" w:rsidRPr="00BA1F6C" w:rsidP="00BA1F6C">
      <w:pPr>
        <w:pStyle w:val="Heading4"/>
        <w:spacing w:before="240" w:after="120" w:line="240" w:lineRule="atLeast"/>
        <w:ind w:firstLine="426"/>
        <w:rPr>
          <w:rFonts w:ascii="Arial" w:hAnsi="Arial" w:cs="Arial"/>
          <w:sz w:val="24"/>
          <w:szCs w:val="24"/>
          <w:lang w:val="en-GB"/>
        </w:rPr>
      </w:pPr>
      <w:r w:rsidRPr="00BA1F6C">
        <w:rPr>
          <w:rFonts w:ascii="Arial" w:hAnsi="Arial" w:cs="Arial"/>
          <w:sz w:val="24"/>
          <w:szCs w:val="24"/>
          <w:lang w:val="en-GB"/>
        </w:rPr>
        <w:t xml:space="preserve">Pharmacotherapeutic group: </w:t>
      </w:r>
      <w:r w:rsidRPr="00BA1F6C">
        <w:rPr>
          <w:rFonts w:ascii="Arial" w:hAnsi="Arial" w:cs="Arial"/>
          <w:b w:val="0"/>
          <w:i w:val="0"/>
          <w:sz w:val="24"/>
          <w:szCs w:val="24"/>
          <w:lang w:val="en-GB"/>
        </w:rPr>
        <w:t>Corticosteroids for systemic use, dexamethasone</w:t>
      </w:r>
    </w:p>
    <w:p w:rsidR="00BA1F6C" w:rsidRPr="00BA1F6C" w:rsidP="00BA1F6C">
      <w:pPr>
        <w:pStyle w:val="Heading4"/>
        <w:spacing w:before="240" w:after="120" w:line="240" w:lineRule="atLeast"/>
        <w:ind w:firstLine="425"/>
        <w:rPr>
          <w:rFonts w:ascii="Arial" w:hAnsi="Arial" w:cs="Arial"/>
          <w:b w:val="0"/>
          <w:bCs w:val="0"/>
          <w:i w:val="0"/>
          <w:iCs w:val="0"/>
          <w:color w:val="FF0000"/>
          <w:sz w:val="24"/>
          <w:szCs w:val="24"/>
          <w:lang w:val="en-GB"/>
        </w:rPr>
      </w:pPr>
      <w:r w:rsidRPr="00BA1F6C">
        <w:rPr>
          <w:rFonts w:ascii="Arial" w:hAnsi="Arial" w:cs="Arial"/>
          <w:sz w:val="24"/>
          <w:szCs w:val="24"/>
          <w:lang w:val="en-GB"/>
        </w:rPr>
        <w:t xml:space="preserve">ATCvet-code: </w:t>
      </w:r>
      <w:r w:rsidRPr="00BA1F6C">
        <w:rPr>
          <w:rFonts w:ascii="Arial" w:hAnsi="Arial" w:cs="Arial"/>
          <w:b w:val="0"/>
          <w:bCs w:val="0"/>
          <w:i w:val="0"/>
          <w:iCs w:val="0"/>
          <w:noProof/>
          <w:sz w:val="24"/>
          <w:szCs w:val="24"/>
          <w:lang w:val="en-GB"/>
        </w:rPr>
        <w:t>QH02AB02</w:t>
      </w:r>
    </w:p>
    <w:p w:rsidR="00BA1F6C" w:rsidRPr="00BA1F6C" w:rsidP="00BA1F6C">
      <w:pPr>
        <w:pStyle w:val="Heading5"/>
        <w:spacing w:before="120" w:after="120"/>
        <w:ind w:left="993" w:hanging="568"/>
        <w:rPr>
          <w:rFonts w:ascii="Arial" w:hAnsi="Arial" w:cs="Arial"/>
          <w:sz w:val="24"/>
          <w:szCs w:val="24"/>
          <w:lang w:val="en-GB"/>
        </w:rPr>
      </w:pPr>
      <w:r w:rsidRPr="00BA1F6C">
        <w:rPr>
          <w:rFonts w:ascii="Arial" w:hAnsi="Arial" w:cs="Arial"/>
          <w:sz w:val="24"/>
          <w:szCs w:val="24"/>
          <w:lang w:val="en-GB"/>
        </w:rPr>
        <w:t>5.1</w:t>
        <w:tab/>
        <w:t>Pharmacodynamic properties</w:t>
      </w:r>
    </w:p>
    <w:p w:rsidR="00BA1F6C" w:rsidRPr="00BA1F6C" w:rsidP="00BA1F6C">
      <w:pPr>
        <w:ind w:left="993"/>
        <w:rPr>
          <w:rFonts w:ascii="Arial" w:hAnsi="Arial" w:cs="Arial"/>
          <w:bCs/>
          <w:sz w:val="24"/>
          <w:szCs w:val="24"/>
          <w:lang w:val="en-GB"/>
        </w:rPr>
      </w:pPr>
      <w:r w:rsidRPr="00BA1F6C">
        <w:rPr>
          <w:rFonts w:ascii="Arial" w:hAnsi="Arial" w:cs="Arial"/>
          <w:bCs/>
          <w:sz w:val="24"/>
          <w:szCs w:val="24"/>
          <w:lang w:val="en-GB"/>
        </w:rPr>
        <w:t>This preparation contains the sodium phosphate ester of dexamethasone, a fluoro-methyl derivative of prednisolone, which is a potent glucocorticoid with minimal mineralocorticoid activity. Dexamethasone has ten to twenty times the anti-inflammatory activity of prednisolone.</w:t>
      </w:r>
    </w:p>
    <w:p w:rsidR="00BA1F6C" w:rsidRPr="00BA1F6C" w:rsidP="00BA1F6C">
      <w:pPr>
        <w:ind w:left="993"/>
        <w:rPr>
          <w:rFonts w:ascii="Arial" w:hAnsi="Arial" w:cs="Arial"/>
          <w:bCs/>
          <w:sz w:val="24"/>
          <w:szCs w:val="24"/>
          <w:lang w:val="en-GB"/>
        </w:rPr>
      </w:pPr>
      <w:r w:rsidRPr="00BA1F6C">
        <w:rPr>
          <w:rFonts w:ascii="Arial" w:hAnsi="Arial" w:cs="Arial"/>
          <w:bCs/>
          <w:sz w:val="24"/>
          <w:szCs w:val="24"/>
          <w:lang w:val="en-GB"/>
        </w:rPr>
        <w:t>Corticosteroids suppress the immunologic response by inhibition of dilatation of capillaries, migration and function of leucocytes and phagocytosis. Glucocorticoids have an effect on metabolism by increasing gluconeogenesis.</w:t>
      </w:r>
    </w:p>
    <w:p w:rsidR="00BA1F6C" w:rsidRPr="00BA1F6C" w:rsidP="00BA1F6C">
      <w:pPr>
        <w:ind w:left="992" w:firstLine="1"/>
        <w:rPr>
          <w:rFonts w:ascii="Arial" w:hAnsi="Arial" w:cs="Arial"/>
          <w:sz w:val="24"/>
          <w:szCs w:val="24"/>
          <w:lang w:val="en-GB"/>
        </w:rPr>
      </w:pPr>
    </w:p>
    <w:p w:rsidR="00BA1F6C" w:rsidRPr="00BA1F6C" w:rsidP="00BA1F6C">
      <w:pPr>
        <w:pStyle w:val="Heading5"/>
        <w:spacing w:before="120" w:after="120"/>
        <w:ind w:left="993" w:hanging="568"/>
        <w:rPr>
          <w:rFonts w:ascii="Arial" w:hAnsi="Arial" w:cs="Arial"/>
          <w:sz w:val="24"/>
          <w:szCs w:val="24"/>
          <w:lang w:val="en-GB"/>
        </w:rPr>
      </w:pPr>
      <w:r w:rsidRPr="00BA1F6C">
        <w:rPr>
          <w:rFonts w:ascii="Arial" w:hAnsi="Arial" w:cs="Arial"/>
          <w:sz w:val="24"/>
          <w:szCs w:val="24"/>
          <w:lang w:val="en-GB"/>
        </w:rPr>
        <w:t>5.2</w:t>
        <w:tab/>
        <w:t>Pharmacokinetic properties</w:t>
      </w:r>
    </w:p>
    <w:p w:rsidR="00BA1F6C" w:rsidRPr="00BA1F6C" w:rsidP="00BA1F6C">
      <w:pPr>
        <w:ind w:left="990"/>
        <w:rPr>
          <w:rFonts w:ascii="Arial" w:hAnsi="Arial" w:cs="Arial"/>
          <w:sz w:val="24"/>
          <w:szCs w:val="24"/>
          <w:lang w:val="en-GB"/>
        </w:rPr>
      </w:pPr>
      <w:r w:rsidRPr="00BA1F6C">
        <w:rPr>
          <w:rFonts w:ascii="Arial" w:hAnsi="Arial" w:cs="Arial"/>
          <w:sz w:val="24"/>
          <w:szCs w:val="24"/>
          <w:lang w:val="en-GB"/>
        </w:rPr>
        <w:t>After extravascular (intramuscular, subcutaneous, intra-articular) administration, this soluble ester of dexamethasone is rapidly absorbed from the injection site followed by immediate hydrolysation into the parent compound, dexamethasone. Absorption of dexamethasone is rapid. The time to reach maximum plasma concentrations (Cmax) of dexamethasone in cattle, horse, pig and dog is within 20 min after intramuscular administration. Bioavailability following i.m. administration (compared to i.v. administration) is high in all species. Elimination half-life after intravenous administration in horses is 3.5 h. After intramuscular administration, apparent elimination half-life has been shown to range between 1 and 20 hours according to the species.</w:t>
      </w:r>
    </w:p>
    <w:p w:rsidR="00BA1F6C" w:rsidP="00BA1F6C">
      <w:pPr>
        <w:pStyle w:val="NormalIndent"/>
        <w:ind w:left="0"/>
        <w:rPr>
          <w:rFonts w:ascii="Arial" w:hAnsi="Arial" w:cs="Arial"/>
          <w:sz w:val="24"/>
          <w:szCs w:val="24"/>
          <w:lang w:val="en-GB"/>
        </w:rPr>
      </w:pPr>
    </w:p>
    <w:p w:rsidR="00BA1F6C" w:rsidRPr="00BA1F6C" w:rsidP="00BA1F6C">
      <w:pPr>
        <w:pStyle w:val="NormalIndent"/>
        <w:ind w:left="0"/>
        <w:rPr>
          <w:rFonts w:ascii="Arial" w:hAnsi="Arial" w:cs="Arial"/>
          <w:sz w:val="24"/>
          <w:szCs w:val="24"/>
          <w:lang w:val="en-GB"/>
        </w:rPr>
      </w:pPr>
    </w:p>
    <w:p w:rsidR="00BA1F6C" w:rsidRPr="00BA1F6C" w:rsidP="00BA1F6C">
      <w:pPr>
        <w:pStyle w:val="Heading2"/>
        <w:spacing w:before="360" w:after="120" w:line="240" w:lineRule="auto"/>
        <w:ind w:left="426" w:hanging="426"/>
        <w:rPr>
          <w:rFonts w:ascii="Arial" w:hAnsi="Arial" w:cs="Arial"/>
          <w:sz w:val="24"/>
          <w:szCs w:val="24"/>
          <w:lang w:val="en-GB"/>
        </w:rPr>
      </w:pPr>
      <w:r w:rsidRPr="00BA1F6C">
        <w:rPr>
          <w:rFonts w:ascii="Arial" w:hAnsi="Arial" w:cs="Arial"/>
          <w:sz w:val="24"/>
          <w:szCs w:val="24"/>
          <w:lang w:val="en-GB"/>
        </w:rPr>
        <w:t>6.</w:t>
        <w:tab/>
      </w:r>
      <w:r w:rsidRPr="00BA1F6C">
        <w:rPr>
          <w:rFonts w:ascii="Arial" w:hAnsi="Arial" w:cs="Arial"/>
          <w:caps/>
          <w:sz w:val="24"/>
          <w:szCs w:val="24"/>
          <w:lang w:val="en-GB"/>
        </w:rPr>
        <w:t>pharmaceutical particulars</w:t>
      </w:r>
    </w:p>
    <w:p w:rsidR="00BA1F6C" w:rsidRPr="00BA1F6C" w:rsidP="00BA1F6C">
      <w:pPr>
        <w:pStyle w:val="Heading5"/>
        <w:numPr>
          <w:ilvl w:val="1"/>
          <w:numId w:val="5"/>
        </w:numPr>
        <w:spacing w:before="120" w:after="120"/>
        <w:rPr>
          <w:rFonts w:ascii="Arial" w:hAnsi="Arial" w:cs="Arial"/>
          <w:sz w:val="24"/>
          <w:szCs w:val="24"/>
          <w:lang w:val="en-GB"/>
        </w:rPr>
      </w:pPr>
      <w:r w:rsidRPr="00BA1F6C">
        <w:rPr>
          <w:rFonts w:ascii="Arial" w:hAnsi="Arial" w:cs="Arial"/>
          <w:sz w:val="24"/>
          <w:szCs w:val="24"/>
          <w:lang w:val="en-GB"/>
        </w:rPr>
        <w:t>List of excipients</w:t>
      </w:r>
    </w:p>
    <w:p w:rsidR="00BA1F6C" w:rsidRPr="00BA1F6C" w:rsidP="00BA1F6C">
      <w:pPr>
        <w:ind w:left="993"/>
        <w:rPr>
          <w:rFonts w:ascii="Arial" w:hAnsi="Arial" w:cs="Arial"/>
          <w:sz w:val="24"/>
          <w:szCs w:val="24"/>
          <w:lang w:val="en-GB"/>
        </w:rPr>
      </w:pPr>
      <w:r w:rsidRPr="00BA1F6C">
        <w:rPr>
          <w:rFonts w:ascii="Arial" w:hAnsi="Arial" w:cs="Arial"/>
          <w:sz w:val="24"/>
          <w:szCs w:val="24"/>
          <w:lang w:val="en-GB"/>
        </w:rPr>
        <w:t>Benzyl alcohol (E1519)</w:t>
      </w:r>
    </w:p>
    <w:p w:rsidR="00BA1F6C" w:rsidRPr="00BA1F6C" w:rsidP="00BA1F6C">
      <w:pPr>
        <w:ind w:left="993"/>
        <w:rPr>
          <w:rFonts w:ascii="Arial" w:hAnsi="Arial" w:cs="Arial"/>
          <w:sz w:val="24"/>
          <w:szCs w:val="24"/>
          <w:lang w:val="en-GB"/>
        </w:rPr>
      </w:pPr>
      <w:r w:rsidRPr="00BA1F6C">
        <w:rPr>
          <w:rFonts w:ascii="Arial" w:hAnsi="Arial" w:cs="Arial"/>
          <w:sz w:val="24"/>
          <w:szCs w:val="24"/>
          <w:lang w:val="en-GB"/>
        </w:rPr>
        <w:t>Sodium chloride</w:t>
      </w:r>
    </w:p>
    <w:p w:rsidR="00BA1F6C" w:rsidRPr="00BA1F6C" w:rsidP="00BA1F6C">
      <w:pPr>
        <w:ind w:left="993"/>
        <w:rPr>
          <w:rFonts w:ascii="Arial" w:hAnsi="Arial" w:cs="Arial"/>
          <w:sz w:val="24"/>
          <w:szCs w:val="24"/>
          <w:lang w:val="en-GB"/>
        </w:rPr>
      </w:pPr>
      <w:r w:rsidRPr="00BA1F6C">
        <w:rPr>
          <w:rFonts w:ascii="Arial" w:hAnsi="Arial" w:cs="Arial"/>
          <w:sz w:val="24"/>
          <w:szCs w:val="24"/>
          <w:lang w:val="en-GB"/>
        </w:rPr>
        <w:t xml:space="preserve">Sodium citrate </w:t>
      </w:r>
    </w:p>
    <w:p w:rsidR="00BA1F6C" w:rsidRPr="00BA1F6C" w:rsidP="00BA1F6C">
      <w:pPr>
        <w:ind w:left="993"/>
        <w:rPr>
          <w:rFonts w:ascii="Arial" w:hAnsi="Arial" w:cs="Arial"/>
          <w:sz w:val="24"/>
          <w:szCs w:val="24"/>
          <w:lang w:val="en-GB"/>
        </w:rPr>
      </w:pPr>
      <w:r w:rsidRPr="00BA1F6C">
        <w:rPr>
          <w:rFonts w:ascii="Arial" w:hAnsi="Arial" w:cs="Arial"/>
          <w:sz w:val="24"/>
          <w:szCs w:val="24"/>
          <w:lang w:val="en-GB"/>
        </w:rPr>
        <w:t>Citric acid, anhydrous</w:t>
      </w:r>
      <w:r w:rsidRPr="00BA1F6C">
        <w:rPr>
          <w:rFonts w:ascii="Arial" w:hAnsi="Arial" w:cs="Arial"/>
          <w:sz w:val="24"/>
          <w:szCs w:val="24"/>
          <w:lang w:val="en-US"/>
        </w:rPr>
        <w:t xml:space="preserve"> (</w:t>
      </w:r>
      <w:r w:rsidRPr="00BA1F6C">
        <w:rPr>
          <w:rFonts w:ascii="Arial" w:hAnsi="Arial" w:cs="Arial"/>
          <w:sz w:val="24"/>
          <w:szCs w:val="24"/>
          <w:lang w:val="en-GB"/>
        </w:rPr>
        <w:t>for pH adjustment)</w:t>
      </w:r>
    </w:p>
    <w:p w:rsidR="00BA1F6C" w:rsidRPr="00BA1F6C" w:rsidP="00BA1F6C">
      <w:pPr>
        <w:ind w:left="993"/>
        <w:rPr>
          <w:rFonts w:ascii="Arial" w:hAnsi="Arial" w:cs="Arial"/>
          <w:sz w:val="24"/>
          <w:szCs w:val="24"/>
          <w:lang w:val="en-GB"/>
        </w:rPr>
      </w:pPr>
      <w:r w:rsidRPr="00BA1F6C">
        <w:rPr>
          <w:rFonts w:ascii="Arial" w:hAnsi="Arial" w:cs="Arial"/>
          <w:sz w:val="24"/>
          <w:szCs w:val="24"/>
          <w:lang w:val="en-GB"/>
        </w:rPr>
        <w:t xml:space="preserve">Sodium hydroxide </w:t>
      </w:r>
      <w:r w:rsidRPr="00BA1F6C">
        <w:rPr>
          <w:rFonts w:ascii="Arial" w:hAnsi="Arial" w:cs="Arial"/>
          <w:sz w:val="24"/>
          <w:szCs w:val="24"/>
          <w:lang w:val="en-US"/>
        </w:rPr>
        <w:t>(</w:t>
      </w:r>
      <w:r w:rsidRPr="00BA1F6C">
        <w:rPr>
          <w:rFonts w:ascii="Arial" w:hAnsi="Arial" w:cs="Arial"/>
          <w:sz w:val="24"/>
          <w:szCs w:val="24"/>
          <w:lang w:val="en-GB"/>
        </w:rPr>
        <w:t>for pH adjustment)</w:t>
      </w:r>
    </w:p>
    <w:p w:rsidR="00BA1F6C" w:rsidRPr="00BA1F6C" w:rsidP="00BA1F6C">
      <w:pPr>
        <w:ind w:left="993"/>
        <w:rPr>
          <w:rFonts w:ascii="Arial" w:hAnsi="Arial" w:cs="Arial"/>
          <w:sz w:val="24"/>
          <w:szCs w:val="24"/>
          <w:lang w:val="en-GB"/>
        </w:rPr>
      </w:pPr>
      <w:r w:rsidRPr="00BA1F6C">
        <w:rPr>
          <w:rFonts w:ascii="Arial" w:hAnsi="Arial" w:cs="Arial"/>
          <w:sz w:val="24"/>
          <w:szCs w:val="24"/>
          <w:lang w:val="en-GB"/>
        </w:rPr>
        <w:t>Water for injections</w:t>
      </w:r>
    </w:p>
    <w:p w:rsidR="00BA1F6C" w:rsidRPr="00BA1F6C" w:rsidP="00BA1F6C">
      <w:pPr>
        <w:pStyle w:val="Heading5"/>
        <w:spacing w:before="120" w:after="120"/>
        <w:ind w:left="993" w:hanging="568"/>
        <w:rPr>
          <w:rFonts w:ascii="Arial" w:hAnsi="Arial" w:cs="Arial"/>
          <w:sz w:val="24"/>
          <w:szCs w:val="24"/>
          <w:lang w:val="en-GB"/>
        </w:rPr>
      </w:pPr>
      <w:r w:rsidRPr="00BA1F6C">
        <w:rPr>
          <w:rFonts w:ascii="Arial" w:hAnsi="Arial" w:cs="Arial"/>
          <w:sz w:val="24"/>
          <w:szCs w:val="24"/>
          <w:lang w:val="en-GB"/>
        </w:rPr>
        <w:t>6.2</w:t>
        <w:tab/>
        <w:t>Major incompatibilities</w:t>
      </w:r>
    </w:p>
    <w:p w:rsidR="00BA1F6C" w:rsidRPr="00BA1F6C" w:rsidP="00BA1F6C">
      <w:pPr>
        <w:ind w:left="993"/>
        <w:rPr>
          <w:rFonts w:ascii="Arial" w:hAnsi="Arial" w:cs="Arial"/>
          <w:bCs/>
          <w:iCs/>
          <w:sz w:val="24"/>
          <w:szCs w:val="24"/>
          <w:lang w:val="en-GB"/>
        </w:rPr>
      </w:pPr>
      <w:r w:rsidRPr="00BA1F6C">
        <w:rPr>
          <w:rFonts w:ascii="Arial" w:hAnsi="Arial" w:cs="Arial"/>
          <w:bCs/>
          <w:iCs/>
          <w:sz w:val="24"/>
          <w:szCs w:val="24"/>
          <w:lang w:val="en-GB"/>
        </w:rPr>
        <w:t>In the absence of compatibility studies, this veterinary medicinal product must not be mixed with other veterinary medicinal products.</w:t>
      </w:r>
    </w:p>
    <w:p w:rsidR="00BA1F6C" w:rsidRPr="00BA1F6C" w:rsidP="00BA1F6C">
      <w:pPr>
        <w:pStyle w:val="Heading5"/>
        <w:spacing w:before="240" w:after="120"/>
        <w:ind w:left="993" w:hanging="568"/>
        <w:rPr>
          <w:rFonts w:ascii="Arial" w:hAnsi="Arial" w:cs="Arial"/>
          <w:sz w:val="24"/>
          <w:szCs w:val="24"/>
          <w:lang w:val="en-GB"/>
        </w:rPr>
      </w:pPr>
      <w:r w:rsidRPr="00BA1F6C">
        <w:rPr>
          <w:rFonts w:ascii="Arial" w:hAnsi="Arial" w:cs="Arial"/>
          <w:sz w:val="24"/>
          <w:szCs w:val="24"/>
          <w:lang w:val="en-GB"/>
        </w:rPr>
        <w:t>6.3</w:t>
        <w:tab/>
        <w:t>Shelf life</w:t>
      </w:r>
    </w:p>
    <w:p w:rsidR="00BA1F6C" w:rsidRPr="00BA1F6C" w:rsidP="00BA1F6C">
      <w:pPr>
        <w:ind w:left="993"/>
        <w:rPr>
          <w:rFonts w:ascii="Arial" w:hAnsi="Arial" w:cs="Arial"/>
          <w:sz w:val="24"/>
          <w:szCs w:val="24"/>
          <w:lang w:val="en-GB"/>
        </w:rPr>
      </w:pPr>
      <w:r w:rsidRPr="00BA1F6C">
        <w:rPr>
          <w:rFonts w:ascii="Arial" w:hAnsi="Arial" w:cs="Arial"/>
          <w:sz w:val="24"/>
          <w:szCs w:val="24"/>
          <w:lang w:val="en-GB"/>
        </w:rPr>
        <w:t>Shelf life of the veterinary medicinal product as packaged for sale: 3 years.</w:t>
      </w:r>
    </w:p>
    <w:p w:rsidR="00BA1F6C" w:rsidRPr="00BA1F6C" w:rsidP="00BA1F6C">
      <w:pPr>
        <w:ind w:left="993"/>
        <w:rPr>
          <w:rFonts w:ascii="Arial" w:hAnsi="Arial" w:cs="Arial"/>
          <w:sz w:val="24"/>
          <w:szCs w:val="24"/>
          <w:lang w:val="en-GB"/>
        </w:rPr>
      </w:pPr>
      <w:r w:rsidRPr="00BA1F6C">
        <w:rPr>
          <w:rFonts w:ascii="Arial" w:hAnsi="Arial" w:cs="Arial"/>
          <w:sz w:val="24"/>
          <w:szCs w:val="24"/>
          <w:lang w:val="en-GB"/>
        </w:rPr>
        <w:t>Shelf life after first opening the immediate packaging</w:t>
      </w:r>
      <w:r w:rsidRPr="00BA1F6C">
        <w:rPr>
          <w:rFonts w:ascii="Arial" w:hAnsi="Arial" w:cs="Arial"/>
          <w:sz w:val="24"/>
          <w:szCs w:val="24"/>
        </w:rPr>
        <w:t>: 28 days.</w:t>
      </w:r>
    </w:p>
    <w:p w:rsidR="00BA1F6C" w:rsidRPr="00BA1F6C" w:rsidP="00BA1F6C">
      <w:pPr>
        <w:pStyle w:val="Heading5"/>
        <w:spacing w:before="240" w:after="120"/>
        <w:ind w:left="993" w:hanging="568"/>
        <w:rPr>
          <w:rFonts w:ascii="Arial" w:hAnsi="Arial" w:cs="Arial"/>
          <w:sz w:val="24"/>
          <w:szCs w:val="24"/>
          <w:lang w:val="en-GB"/>
        </w:rPr>
      </w:pPr>
      <w:r w:rsidRPr="00BA1F6C">
        <w:rPr>
          <w:rFonts w:ascii="Arial" w:hAnsi="Arial" w:cs="Arial"/>
          <w:sz w:val="24"/>
          <w:szCs w:val="24"/>
          <w:lang w:val="en-GB"/>
        </w:rPr>
        <w:t>6.4.</w:t>
        <w:tab/>
        <w:t xml:space="preserve">Special precautions for storage </w:t>
      </w:r>
    </w:p>
    <w:p w:rsidR="00BA1F6C" w:rsidRPr="00BA1F6C" w:rsidP="00BA1F6C">
      <w:pPr>
        <w:ind w:left="993"/>
        <w:rPr>
          <w:rFonts w:ascii="Arial" w:hAnsi="Arial" w:cs="Arial"/>
          <w:sz w:val="24"/>
          <w:szCs w:val="24"/>
          <w:lang w:val="en-GB"/>
        </w:rPr>
      </w:pPr>
      <w:r w:rsidRPr="00BA1F6C">
        <w:rPr>
          <w:rFonts w:ascii="Arial" w:hAnsi="Arial" w:cs="Arial"/>
          <w:sz w:val="24"/>
          <w:szCs w:val="24"/>
          <w:lang w:val="en-GB"/>
        </w:rPr>
        <w:t xml:space="preserve">Do not store above 25°C. </w:t>
      </w:r>
    </w:p>
    <w:p w:rsidR="00BA1F6C" w:rsidRPr="00BA1F6C" w:rsidP="00BA1F6C">
      <w:pPr>
        <w:ind w:left="993"/>
        <w:rPr>
          <w:rFonts w:ascii="Arial" w:hAnsi="Arial" w:cs="Arial"/>
          <w:sz w:val="24"/>
          <w:szCs w:val="24"/>
          <w:lang w:val="en-GB"/>
        </w:rPr>
      </w:pPr>
      <w:r w:rsidRPr="00BA1F6C">
        <w:rPr>
          <w:rFonts w:ascii="Arial" w:hAnsi="Arial" w:cs="Arial"/>
          <w:sz w:val="24"/>
          <w:szCs w:val="24"/>
          <w:lang w:val="en-GB"/>
        </w:rPr>
        <w:t>Keep the vial in the outer carton in order to protect from light.</w:t>
      </w:r>
    </w:p>
    <w:p w:rsidR="00BA1F6C" w:rsidRPr="00BA1F6C" w:rsidP="00BA1F6C">
      <w:pPr>
        <w:pStyle w:val="Heading5"/>
        <w:spacing w:before="240" w:after="120"/>
        <w:ind w:left="993" w:hanging="568"/>
        <w:rPr>
          <w:rFonts w:ascii="Arial" w:hAnsi="Arial" w:cs="Arial"/>
          <w:sz w:val="24"/>
          <w:szCs w:val="24"/>
          <w:lang w:val="en-GB"/>
        </w:rPr>
      </w:pPr>
      <w:r w:rsidRPr="00BA1F6C">
        <w:rPr>
          <w:rFonts w:ascii="Arial" w:hAnsi="Arial" w:cs="Arial"/>
          <w:sz w:val="24"/>
          <w:szCs w:val="24"/>
          <w:lang w:val="en-GB"/>
        </w:rPr>
        <w:t>6.5</w:t>
        <w:tab/>
        <w:t>Nature and composition of immediate packaging</w:t>
      </w:r>
    </w:p>
    <w:p w:rsidR="00BA1F6C" w:rsidRPr="00BA1F6C" w:rsidP="00BA1F6C">
      <w:pPr>
        <w:tabs>
          <w:tab w:val="left" w:pos="284"/>
          <w:tab w:val="left" w:pos="567"/>
          <w:tab w:val="left" w:pos="1134"/>
          <w:tab w:val="left" w:pos="1701"/>
        </w:tabs>
        <w:ind w:left="993"/>
        <w:rPr>
          <w:rFonts w:ascii="Arial" w:hAnsi="Arial" w:cs="Arial"/>
          <w:color w:val="000000"/>
          <w:sz w:val="24"/>
          <w:szCs w:val="24"/>
          <w:lang w:val="en-GB"/>
        </w:rPr>
      </w:pPr>
      <w:r w:rsidRPr="00BA1F6C">
        <w:rPr>
          <w:rFonts w:ascii="Arial" w:hAnsi="Arial" w:cs="Arial"/>
          <w:color w:val="000000"/>
          <w:sz w:val="24"/>
          <w:szCs w:val="24"/>
          <w:lang w:val="en-GB"/>
        </w:rPr>
        <w:t>Cardboard box with 1 colourless, type I glass  vial of 50 or 100 ml, which is closed with a bromobutyl rubber stopper and sealed with an aluminium cap.</w:t>
      </w:r>
    </w:p>
    <w:p w:rsidR="00BA1F6C" w:rsidRPr="00BA1F6C" w:rsidP="00BA1F6C">
      <w:pPr>
        <w:tabs>
          <w:tab w:val="left" w:pos="284"/>
          <w:tab w:val="left" w:pos="567"/>
          <w:tab w:val="left" w:pos="1134"/>
          <w:tab w:val="left" w:pos="1701"/>
        </w:tabs>
        <w:ind w:left="993"/>
        <w:rPr>
          <w:rFonts w:ascii="Arial" w:hAnsi="Arial" w:cs="Arial"/>
          <w:color w:val="000000"/>
          <w:sz w:val="24"/>
          <w:szCs w:val="24"/>
          <w:lang w:val="en-GB"/>
        </w:rPr>
      </w:pPr>
      <w:r w:rsidRPr="00BA1F6C">
        <w:rPr>
          <w:rFonts w:ascii="Arial" w:hAnsi="Arial" w:cs="Arial"/>
          <w:color w:val="000000"/>
          <w:sz w:val="24"/>
          <w:szCs w:val="24"/>
          <w:lang w:val="en-GB"/>
        </w:rPr>
        <w:t>Not all pack sizes may be marketed</w:t>
      </w:r>
    </w:p>
    <w:p w:rsidR="00BA1F6C" w:rsidRPr="00BA1F6C" w:rsidP="00BA1F6C">
      <w:pPr>
        <w:pStyle w:val="Heading5"/>
        <w:spacing w:before="240" w:after="120"/>
        <w:ind w:left="993" w:hanging="568"/>
        <w:rPr>
          <w:rFonts w:ascii="Arial" w:hAnsi="Arial" w:cs="Arial"/>
          <w:sz w:val="24"/>
          <w:szCs w:val="24"/>
          <w:lang w:val="en-GB"/>
        </w:rPr>
      </w:pPr>
      <w:r w:rsidRPr="00BA1F6C">
        <w:rPr>
          <w:rFonts w:ascii="Arial" w:hAnsi="Arial" w:cs="Arial"/>
          <w:sz w:val="24"/>
          <w:szCs w:val="24"/>
          <w:lang w:val="en-GB"/>
        </w:rPr>
        <w:t>6.6</w:t>
        <w:tab/>
        <w:t xml:space="preserve">Special precautions for the disposal of unused veterinary medicinal products or waste materials derived from the use of such products </w:t>
      </w:r>
    </w:p>
    <w:p w:rsidR="00BA1F6C" w:rsidRPr="00BA1F6C" w:rsidP="00BA1F6C">
      <w:pPr>
        <w:ind w:left="992"/>
        <w:rPr>
          <w:rFonts w:ascii="Arial" w:hAnsi="Arial" w:cs="Arial"/>
          <w:sz w:val="24"/>
          <w:szCs w:val="24"/>
          <w:lang w:val="en-GB"/>
        </w:rPr>
      </w:pPr>
      <w:r w:rsidRPr="00BA1F6C">
        <w:rPr>
          <w:rFonts w:ascii="Arial" w:hAnsi="Arial" w:cs="Arial"/>
          <w:sz w:val="24"/>
          <w:szCs w:val="24"/>
          <w:lang w:val="en-GB"/>
        </w:rPr>
        <w:t>Any unused veterinary medicinal product or waste materials derived from such veterinary</w:t>
      </w:r>
      <w:r w:rsidRPr="00BA1F6C">
        <w:rPr>
          <w:rFonts w:ascii="Arial" w:hAnsi="Arial" w:cs="Arial"/>
          <w:sz w:val="24"/>
          <w:szCs w:val="24"/>
          <w:u w:val="single"/>
          <w:lang w:val="en-GB"/>
        </w:rPr>
        <w:t xml:space="preserve"> </w:t>
      </w:r>
      <w:r w:rsidRPr="00BA1F6C">
        <w:rPr>
          <w:rFonts w:ascii="Arial" w:hAnsi="Arial" w:cs="Arial"/>
          <w:sz w:val="24"/>
          <w:szCs w:val="24"/>
          <w:lang w:val="en-GB"/>
        </w:rPr>
        <w:t>medicinal products should be disposed of in accordance with local requirements.</w:t>
      </w:r>
    </w:p>
    <w:p w:rsidR="00134556" w:rsidRPr="00BA1F6C" w:rsidP="00134556">
      <w:pPr>
        <w:pStyle w:val="Heading2"/>
        <w:spacing w:before="360" w:after="120" w:line="240" w:lineRule="auto"/>
        <w:ind w:left="567" w:hanging="567"/>
        <w:rPr>
          <w:rFonts w:ascii="Arial" w:hAnsi="Arial" w:cs="Arial"/>
          <w:sz w:val="24"/>
          <w:szCs w:val="24"/>
          <w:lang w:val="en-GB"/>
        </w:rPr>
      </w:pPr>
      <w:r w:rsidRPr="00BA1F6C" w:rsidR="00CB345C">
        <w:rPr>
          <w:rFonts w:ascii="Arial" w:hAnsi="Arial" w:cs="Arial"/>
          <w:sz w:val="24"/>
          <w:szCs w:val="24"/>
          <w:lang w:val="en-GB"/>
        </w:rPr>
        <w:t xml:space="preserve">    </w:t>
      </w:r>
      <w:r w:rsidRPr="00BA1F6C" w:rsidR="00193B10">
        <w:rPr>
          <w:rFonts w:ascii="Arial" w:hAnsi="Arial" w:cs="Arial"/>
          <w:sz w:val="24"/>
          <w:szCs w:val="24"/>
          <w:lang w:val="en-GB"/>
        </w:rPr>
        <w:t xml:space="preserve">  </w:t>
      </w:r>
      <w:r w:rsidRPr="00BA1F6C" w:rsidR="00CB345C">
        <w:rPr>
          <w:rFonts w:ascii="Arial" w:hAnsi="Arial" w:cs="Arial"/>
          <w:sz w:val="24"/>
          <w:szCs w:val="24"/>
          <w:lang w:val="en-GB"/>
        </w:rPr>
        <w:t xml:space="preserve">  </w:t>
      </w:r>
      <w:r w:rsidRPr="00BA1F6C">
        <w:rPr>
          <w:rFonts w:ascii="Arial" w:hAnsi="Arial" w:cs="Arial"/>
          <w:sz w:val="24"/>
          <w:szCs w:val="24"/>
          <w:lang w:val="en-GB"/>
        </w:rPr>
        <w:t>7.</w:t>
      </w:r>
      <w:r w:rsidR="00BA1F6C">
        <w:rPr>
          <w:rFonts w:ascii="Arial" w:hAnsi="Arial" w:cs="Arial"/>
          <w:sz w:val="24"/>
          <w:szCs w:val="24"/>
          <w:lang w:val="en-GB"/>
        </w:rPr>
        <w:t xml:space="preserve">    </w:t>
      </w:r>
      <w:r w:rsidRPr="00BA1F6C">
        <w:rPr>
          <w:rFonts w:ascii="Arial" w:hAnsi="Arial" w:cs="Arial"/>
          <w:sz w:val="24"/>
          <w:szCs w:val="24"/>
          <w:lang w:val="en-GB"/>
        </w:rPr>
        <w:t>MARKETING AUTHORISATION HOLDER</w:t>
      </w:r>
    </w:p>
    <w:p w:rsidR="00134556" w:rsidRPr="00BA1F6C" w:rsidP="00134556">
      <w:pPr>
        <w:ind w:firstLine="567"/>
        <w:rPr>
          <w:rFonts w:ascii="Arial" w:hAnsi="Arial" w:cs="Arial"/>
          <w:sz w:val="24"/>
          <w:szCs w:val="24"/>
          <w:lang w:val="en-GB"/>
        </w:rPr>
      </w:pPr>
      <w:r w:rsidRPr="00BA1F6C">
        <w:rPr>
          <w:rFonts w:ascii="Arial" w:hAnsi="Arial" w:cs="Arial"/>
          <w:sz w:val="24"/>
          <w:szCs w:val="24"/>
          <w:lang w:val="en-GB"/>
        </w:rPr>
        <w:t xml:space="preserve">       </w:t>
      </w:r>
      <w:r w:rsidRPr="00BA1F6C">
        <w:rPr>
          <w:rFonts w:ascii="Arial" w:hAnsi="Arial" w:cs="Arial"/>
          <w:sz w:val="24"/>
          <w:szCs w:val="24"/>
          <w:lang w:val="en-GB"/>
        </w:rPr>
        <w:fldChar w:fldCharType="begin"/>
      </w:r>
      <w:r w:rsidRPr="00BA1F6C">
        <w:rPr>
          <w:rFonts w:ascii="Arial" w:hAnsi="Arial" w:cs="Arial"/>
          <w:sz w:val="24"/>
          <w:szCs w:val="24"/>
          <w:lang w:val="en-GB"/>
        </w:rPr>
        <w:instrText xml:space="preserve"> SEQ CHAPTER \h \r 1</w:instrText>
      </w:r>
      <w:r w:rsidRPr="00BA1F6C">
        <w:rPr>
          <w:rFonts w:ascii="Arial" w:hAnsi="Arial" w:cs="Arial"/>
          <w:sz w:val="24"/>
          <w:szCs w:val="24"/>
          <w:lang w:val="en-GB"/>
        </w:rPr>
        <w:fldChar w:fldCharType="separate"/>
      </w:r>
      <w:r w:rsidRPr="00BA1F6C">
        <w:rPr>
          <w:rFonts w:ascii="Arial" w:hAnsi="Arial" w:cs="Arial"/>
          <w:sz w:val="24"/>
          <w:szCs w:val="24"/>
          <w:lang w:val="en-GB"/>
        </w:rPr>
        <w:fldChar w:fldCharType="end"/>
      </w:r>
      <w:r w:rsidRPr="00BA1F6C">
        <w:rPr>
          <w:rFonts w:ascii="Arial" w:hAnsi="Arial" w:cs="Arial"/>
          <w:sz w:val="24"/>
          <w:szCs w:val="24"/>
          <w:lang w:val="en-GB"/>
        </w:rPr>
        <w:t>Dopharma Research B.V.</w:t>
      </w:r>
    </w:p>
    <w:p w:rsidR="00134556" w:rsidRPr="00BA1F6C" w:rsidP="00134556">
      <w:pPr>
        <w:ind w:firstLine="567"/>
        <w:rPr>
          <w:rFonts w:ascii="Arial" w:hAnsi="Arial" w:cs="Arial"/>
          <w:sz w:val="24"/>
          <w:szCs w:val="24"/>
          <w:lang w:val="en-GB"/>
        </w:rPr>
      </w:pPr>
      <w:r w:rsidRPr="00BA1F6C">
        <w:rPr>
          <w:rFonts w:ascii="Arial" w:hAnsi="Arial" w:cs="Arial"/>
          <w:sz w:val="24"/>
          <w:szCs w:val="24"/>
          <w:lang w:val="en-GB"/>
        </w:rPr>
        <w:t xml:space="preserve">       Zalmweg 24</w:t>
      </w:r>
    </w:p>
    <w:p w:rsidR="00134556" w:rsidRPr="00BA1F6C" w:rsidP="00134556">
      <w:pPr>
        <w:ind w:firstLine="567"/>
        <w:rPr>
          <w:rFonts w:ascii="Arial" w:hAnsi="Arial" w:cs="Arial"/>
          <w:sz w:val="24"/>
          <w:szCs w:val="24"/>
          <w:lang w:val="en-GB"/>
        </w:rPr>
      </w:pPr>
      <w:r w:rsidRPr="00BA1F6C">
        <w:rPr>
          <w:rFonts w:ascii="Arial" w:hAnsi="Arial" w:cs="Arial"/>
          <w:sz w:val="24"/>
          <w:szCs w:val="24"/>
          <w:lang w:val="en-GB"/>
        </w:rPr>
        <w:t xml:space="preserve">       4941 VX  Raamsdonksveer  </w:t>
      </w:r>
    </w:p>
    <w:p w:rsidR="00134556" w:rsidRPr="00BA1F6C" w:rsidP="00134556">
      <w:pPr>
        <w:ind w:left="708" w:firstLine="285"/>
        <w:rPr>
          <w:rFonts w:ascii="Arial" w:hAnsi="Arial" w:cs="Arial"/>
          <w:sz w:val="24"/>
          <w:szCs w:val="24"/>
          <w:lang w:val="en-GB"/>
        </w:rPr>
      </w:pPr>
      <w:r w:rsidRPr="00BA1F6C">
        <w:rPr>
          <w:rFonts w:ascii="Arial" w:hAnsi="Arial" w:cs="Arial"/>
          <w:sz w:val="24"/>
          <w:szCs w:val="24"/>
          <w:lang w:val="en-GB"/>
        </w:rPr>
        <w:t>The Netherlands</w:t>
      </w:r>
    </w:p>
    <w:p w:rsidR="00134556" w:rsidRPr="00BA1F6C" w:rsidP="00134556">
      <w:pPr>
        <w:ind w:firstLine="425"/>
        <w:rPr>
          <w:rFonts w:ascii="Arial" w:hAnsi="Arial" w:cs="Arial"/>
          <w:sz w:val="24"/>
          <w:szCs w:val="24"/>
          <w:lang w:val="en-GB"/>
        </w:rPr>
      </w:pPr>
    </w:p>
    <w:p w:rsidR="00CB345C" w:rsidRPr="00BA1F6C" w:rsidP="00CB345C">
      <w:pPr>
        <w:ind w:firstLine="425"/>
        <w:rPr>
          <w:rFonts w:ascii="Arial" w:hAnsi="Arial" w:cs="Arial"/>
          <w:sz w:val="24"/>
          <w:szCs w:val="24"/>
          <w:lang w:val="en-GB"/>
        </w:rPr>
      </w:pPr>
      <w:r w:rsidRPr="00BA1F6C" w:rsidR="00193B10">
        <w:rPr>
          <w:rFonts w:ascii="Arial" w:hAnsi="Arial" w:cs="Arial"/>
          <w:b/>
          <w:sz w:val="24"/>
          <w:szCs w:val="24"/>
          <w:lang w:val="en-GB"/>
        </w:rPr>
        <w:t xml:space="preserve">  </w:t>
      </w:r>
      <w:r w:rsidRPr="00BA1F6C">
        <w:rPr>
          <w:rFonts w:ascii="Arial" w:hAnsi="Arial" w:cs="Arial"/>
          <w:b/>
          <w:sz w:val="24"/>
          <w:szCs w:val="24"/>
          <w:lang w:val="en-GB"/>
        </w:rPr>
        <w:t>8.    MARKETING AUTHORISATION NUMBER</w:t>
      </w:r>
    </w:p>
    <w:p w:rsidR="00CB345C" w:rsidRPr="00BA1F6C" w:rsidP="00CB345C">
      <w:pPr>
        <w:ind w:firstLine="425"/>
        <w:rPr>
          <w:rFonts w:ascii="Arial" w:hAnsi="Arial" w:cs="Arial"/>
          <w:sz w:val="24"/>
          <w:szCs w:val="24"/>
          <w:lang w:val="en-GB"/>
        </w:rPr>
      </w:pPr>
    </w:p>
    <w:p w:rsidR="00CB345C" w:rsidRPr="00BA1F6C" w:rsidP="00CB345C">
      <w:pPr>
        <w:ind w:firstLine="708"/>
        <w:rPr>
          <w:rFonts w:ascii="Arial" w:hAnsi="Arial" w:cs="Arial"/>
          <w:sz w:val="24"/>
          <w:szCs w:val="24"/>
          <w:lang w:val="en-GB"/>
        </w:rPr>
      </w:pPr>
      <w:r w:rsidRPr="00BA1F6C">
        <w:rPr>
          <w:rFonts w:ascii="Arial" w:hAnsi="Arial" w:cs="Arial"/>
          <w:b/>
          <w:sz w:val="24"/>
          <w:szCs w:val="24"/>
          <w:lang w:val="en-GB"/>
        </w:rPr>
        <w:t xml:space="preserve">    </w:t>
      </w:r>
      <w:r w:rsidRPr="00BA1F6C">
        <w:rPr>
          <w:rFonts w:ascii="Arial" w:hAnsi="Arial" w:cs="Arial"/>
          <w:sz w:val="24"/>
          <w:szCs w:val="24"/>
          <w:lang w:val="en-GB"/>
        </w:rPr>
        <w:t>Vm</w:t>
      </w:r>
      <w:r w:rsidRPr="00BA1F6C">
        <w:rPr>
          <w:rFonts w:ascii="Arial" w:hAnsi="Arial" w:cs="Arial"/>
          <w:b/>
          <w:sz w:val="24"/>
          <w:szCs w:val="24"/>
          <w:lang w:val="en-GB"/>
        </w:rPr>
        <w:t xml:space="preserve"> </w:t>
      </w:r>
      <w:r w:rsidRPr="00BA1F6C">
        <w:rPr>
          <w:rFonts w:ascii="Arial" w:hAnsi="Arial" w:cs="Arial"/>
          <w:sz w:val="24"/>
          <w:szCs w:val="24"/>
          <w:lang w:val="en-GB"/>
        </w:rPr>
        <w:t>28365/4003</w:t>
      </w:r>
    </w:p>
    <w:p w:rsidR="00CB345C" w:rsidRPr="00BA1F6C" w:rsidP="00BA1F6C">
      <w:pPr>
        <w:rPr>
          <w:rFonts w:ascii="Arial" w:hAnsi="Arial" w:cs="Arial"/>
          <w:sz w:val="24"/>
          <w:szCs w:val="24"/>
          <w:lang w:val="en-GB"/>
        </w:rPr>
      </w:pPr>
    </w:p>
    <w:p w:rsidR="00CB345C" w:rsidRPr="00BA1F6C" w:rsidP="00CB345C">
      <w:pPr>
        <w:ind w:firstLine="425"/>
        <w:rPr>
          <w:rFonts w:ascii="Arial" w:hAnsi="Arial" w:cs="Arial"/>
          <w:sz w:val="24"/>
          <w:szCs w:val="24"/>
          <w:lang w:val="en-GB"/>
        </w:rPr>
      </w:pPr>
      <w:r w:rsidRPr="00BA1F6C" w:rsidR="00193B10">
        <w:rPr>
          <w:rFonts w:ascii="Arial" w:hAnsi="Arial" w:cs="Arial"/>
          <w:b/>
          <w:sz w:val="24"/>
          <w:szCs w:val="24"/>
          <w:lang w:val="en-GB"/>
        </w:rPr>
        <w:t xml:space="preserve">  </w:t>
      </w:r>
      <w:r w:rsidRPr="00BA1F6C">
        <w:rPr>
          <w:rFonts w:ascii="Arial" w:hAnsi="Arial" w:cs="Arial"/>
          <w:b/>
          <w:sz w:val="24"/>
          <w:szCs w:val="24"/>
          <w:lang w:val="en-GB"/>
        </w:rPr>
        <w:t>9.</w:t>
      </w:r>
      <w:r w:rsidRPr="00BA1F6C">
        <w:rPr>
          <w:rFonts w:ascii="Arial" w:hAnsi="Arial" w:cs="Arial"/>
          <w:sz w:val="24"/>
          <w:szCs w:val="24"/>
          <w:lang w:val="en-GB"/>
        </w:rPr>
        <w:t xml:space="preserve">    </w:t>
      </w:r>
      <w:r w:rsidRPr="00BA1F6C">
        <w:rPr>
          <w:rFonts w:ascii="Arial" w:hAnsi="Arial" w:cs="Arial"/>
          <w:b/>
          <w:sz w:val="24"/>
          <w:szCs w:val="24"/>
          <w:lang w:val="en-GB"/>
        </w:rPr>
        <w:t>DATE OF FIRST AUTHORISATION</w:t>
      </w:r>
    </w:p>
    <w:p w:rsidR="00CB345C" w:rsidRPr="00BA1F6C" w:rsidP="00CB345C">
      <w:pPr>
        <w:ind w:firstLine="425"/>
        <w:rPr>
          <w:rFonts w:ascii="Arial" w:hAnsi="Arial" w:cs="Arial"/>
          <w:sz w:val="24"/>
          <w:szCs w:val="24"/>
          <w:lang w:val="en-GB"/>
        </w:rPr>
      </w:pPr>
    </w:p>
    <w:p w:rsidR="00CB345C" w:rsidRPr="00BA1F6C" w:rsidP="00CB345C">
      <w:pPr>
        <w:ind w:firstLine="708"/>
        <w:rPr>
          <w:rFonts w:ascii="Arial" w:hAnsi="Arial" w:cs="Arial"/>
          <w:sz w:val="24"/>
          <w:szCs w:val="24"/>
          <w:lang w:val="en-GB"/>
        </w:rPr>
      </w:pPr>
      <w:r w:rsidRPr="00BA1F6C">
        <w:rPr>
          <w:rFonts w:ascii="Arial" w:hAnsi="Arial" w:cs="Arial"/>
          <w:sz w:val="24"/>
          <w:szCs w:val="24"/>
          <w:lang w:val="en-GB"/>
        </w:rPr>
        <w:t xml:space="preserve">     24 August 2012</w:t>
      </w:r>
    </w:p>
    <w:p w:rsidR="00CB345C" w:rsidRPr="00BA1F6C" w:rsidP="00BA1F6C">
      <w:pPr>
        <w:rPr>
          <w:rFonts w:ascii="Arial" w:hAnsi="Arial" w:cs="Arial"/>
          <w:sz w:val="24"/>
          <w:szCs w:val="24"/>
          <w:lang w:val="en-GB"/>
        </w:rPr>
      </w:pPr>
    </w:p>
    <w:p w:rsidR="00CB345C" w:rsidRPr="00BA1F6C" w:rsidP="00CB345C">
      <w:pPr>
        <w:ind w:firstLine="425"/>
        <w:rPr>
          <w:rFonts w:ascii="Arial" w:hAnsi="Arial" w:cs="Arial"/>
          <w:sz w:val="24"/>
          <w:szCs w:val="24"/>
          <w:lang w:val="en-GB"/>
        </w:rPr>
      </w:pPr>
      <w:r w:rsidRPr="00BA1F6C">
        <w:rPr>
          <w:rFonts w:ascii="Arial" w:hAnsi="Arial" w:cs="Arial"/>
          <w:b/>
          <w:sz w:val="24"/>
          <w:szCs w:val="24"/>
          <w:lang w:val="en-GB"/>
        </w:rPr>
        <w:t>10.</w:t>
      </w:r>
      <w:r w:rsidRPr="00BA1F6C">
        <w:rPr>
          <w:rFonts w:ascii="Arial" w:hAnsi="Arial" w:cs="Arial"/>
          <w:sz w:val="24"/>
          <w:szCs w:val="24"/>
          <w:lang w:val="en-GB"/>
        </w:rPr>
        <w:t xml:space="preserve">    </w:t>
      </w:r>
      <w:r w:rsidRPr="00BA1F6C">
        <w:rPr>
          <w:rFonts w:ascii="Arial" w:hAnsi="Arial" w:cs="Arial"/>
          <w:b/>
          <w:sz w:val="24"/>
          <w:szCs w:val="24"/>
          <w:lang w:val="en-GB"/>
        </w:rPr>
        <w:t>DATE OF REVISION OF THE TEXT</w:t>
      </w:r>
    </w:p>
    <w:p w:rsidR="00CB345C" w:rsidRPr="00BA1F6C" w:rsidP="00CB345C">
      <w:pPr>
        <w:ind w:firstLine="425"/>
        <w:rPr>
          <w:rFonts w:ascii="Arial" w:hAnsi="Arial" w:cs="Arial"/>
          <w:sz w:val="24"/>
          <w:szCs w:val="24"/>
          <w:lang w:val="en-GB"/>
        </w:rPr>
      </w:pPr>
    </w:p>
    <w:p w:rsidR="006F1298" w:rsidRPr="00BA1F6C" w:rsidP="00CB345C">
      <w:pPr>
        <w:ind w:left="708" w:firstLine="285"/>
        <w:rPr>
          <w:rFonts w:ascii="Arial" w:hAnsi="Arial" w:cs="Arial"/>
          <w:sz w:val="24"/>
          <w:szCs w:val="24"/>
          <w:lang w:val="en-GB"/>
        </w:rPr>
      </w:pPr>
      <w:r w:rsidR="00BA1F6C">
        <w:rPr>
          <w:rFonts w:ascii="Arial" w:hAnsi="Arial" w:cs="Arial"/>
          <w:sz w:val="24"/>
          <w:szCs w:val="24"/>
          <w:lang w:val="en-GB"/>
        </w:rPr>
        <w:t>July 2017</w:t>
      </w:r>
    </w:p>
    <w:p w:rsidR="00134556" w:rsidRPr="00BA1F6C" w:rsidP="00D14589">
      <w:pPr>
        <w:ind w:left="708" w:firstLine="285"/>
        <w:rPr>
          <w:rFonts w:ascii="Arial" w:hAnsi="Arial" w:cs="Arial"/>
          <w:caps/>
          <w:sz w:val="24"/>
          <w:szCs w:val="24"/>
          <w:lang w:val="en-GB"/>
        </w:rPr>
      </w:pPr>
      <w:r w:rsidRPr="00BA1F6C" w:rsidR="006F1298">
        <w:rPr>
          <w:rFonts w:ascii="Arial" w:hAnsi="Arial" w:cs="Arial"/>
          <w:sz w:val="24"/>
          <w:szCs w:val="24"/>
          <w:lang w:val="en-GB"/>
        </w:rPr>
        <w:br w:type="page"/>
      </w:r>
      <w:r w:rsidRPr="00BA1F6C">
        <w:rPr>
          <w:rFonts w:ascii="Arial" w:hAnsi="Arial" w:cs="Arial"/>
          <w:b/>
          <w:bCs/>
          <w:caps/>
          <w:sz w:val="24"/>
          <w:szCs w:val="24"/>
          <w:lang w:val="en-GB"/>
        </w:rPr>
        <w:t>prohibition of sale, supply and/or use</w:t>
      </w:r>
    </w:p>
    <w:p w:rsidR="00134556" w:rsidRPr="00BA1F6C" w:rsidP="00134556">
      <w:pPr>
        <w:ind w:left="426" w:hanging="1"/>
        <w:rPr>
          <w:rFonts w:ascii="Arial" w:hAnsi="Arial" w:cs="Arial"/>
          <w:sz w:val="24"/>
          <w:szCs w:val="24"/>
          <w:lang w:val="en-GB"/>
        </w:rPr>
      </w:pPr>
    </w:p>
    <w:p w:rsidR="00134556" w:rsidRPr="00BA1F6C" w:rsidP="00134556">
      <w:pPr>
        <w:ind w:left="426" w:hanging="1"/>
        <w:rPr>
          <w:rFonts w:ascii="Arial" w:hAnsi="Arial" w:cs="Arial"/>
          <w:sz w:val="24"/>
          <w:szCs w:val="24"/>
          <w:lang w:val="en-GB"/>
        </w:rPr>
      </w:pPr>
      <w:r w:rsidRPr="00BA1F6C" w:rsidR="00CB345C">
        <w:rPr>
          <w:rFonts w:ascii="Arial" w:hAnsi="Arial" w:cs="Arial"/>
          <w:sz w:val="24"/>
          <w:szCs w:val="24"/>
          <w:lang w:val="en-GB"/>
        </w:rPr>
        <w:t xml:space="preserve">        </w:t>
      </w:r>
      <w:r w:rsidRPr="00BA1F6C">
        <w:rPr>
          <w:rFonts w:ascii="Arial" w:hAnsi="Arial" w:cs="Arial"/>
          <w:sz w:val="24"/>
          <w:szCs w:val="24"/>
          <w:lang w:val="en-GB"/>
        </w:rPr>
        <w:t>Supply on veterinary prescription.</w:t>
      </w:r>
    </w:p>
    <w:p w:rsidR="00E277A5" w:rsidRPr="00BA1F6C" w:rsidP="00134556">
      <w:pPr>
        <w:rPr>
          <w:rFonts w:ascii="Arial" w:hAnsi="Arial" w:cs="Arial"/>
          <w:sz w:val="24"/>
          <w:szCs w:val="24"/>
        </w:rPr>
      </w:pPr>
    </w:p>
    <w:p w:rsidR="00FE5661" w:rsidP="00134556">
      <w:pPr>
        <w:rPr>
          <w:rFonts w:ascii="Arial" w:hAnsi="Arial" w:cs="Arial"/>
          <w:sz w:val="24"/>
          <w:szCs w:val="24"/>
        </w:rPr>
      </w:pPr>
    </w:p>
    <w:p w:rsidR="00D14589" w:rsidP="00134556">
      <w:pPr>
        <w:rPr>
          <w:rFonts w:ascii="Arial" w:hAnsi="Arial" w:cs="Arial"/>
          <w:sz w:val="24"/>
          <w:szCs w:val="24"/>
        </w:rPr>
      </w:pPr>
    </w:p>
    <w:p w:rsidR="00D14589" w:rsidP="00D14589">
      <w:pPr>
        <w:jc w:val="right"/>
        <w:rPr>
          <w:rFonts w:ascii="Arial" w:hAnsi="Arial" w:cs="Arial"/>
          <w:sz w:val="24"/>
          <w:szCs w:val="24"/>
        </w:rPr>
      </w:pPr>
      <w:r>
        <w:rPr>
          <w:rFonts w:ascii="Arial" w:hAnsi="Arial" w:cs="Arial"/>
          <w:sz w:val="24"/>
          <w:szCs w:val="24"/>
        </w:rPr>
        <w:t>Approved: 27 July 2017</w:t>
      </w:r>
    </w:p>
    <w:p w:rsidR="00D14589" w:rsidRPr="00BA1F6C" w:rsidP="00D14589">
      <w:pPr>
        <w:jc w:val="right"/>
        <w:rPr>
          <w:rFonts w:ascii="Arial" w:hAnsi="Arial" w:cs="Arial"/>
          <w:sz w:val="24"/>
          <w:szCs w:val="24"/>
        </w:rPr>
      </w:pPr>
      <w:r>
        <w:rPr>
          <w:rFonts w:ascii="Segoe Print" w:hAnsi="Segoe Print" w:cs="Segoe Print"/>
          <w:lang w:val="en"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style="width:85.37pt;height:42.13pt;mso-position-vertical:top" o:preferrelative="t" stroked="f">
            <v:imagedata r:id="rId4" o:title=""/>
          </v:shape>
        </w:pict>
      </w:r>
    </w:p>
    <w:p w:rsidR="006F1298" w:rsidRPr="00BA1F6C" w:rsidP="00134556">
      <w:pPr>
        <w:rPr>
          <w:rFonts w:ascii="Arial" w:hAnsi="Arial" w:cs="Arial"/>
          <w:sz w:val="24"/>
          <w:szCs w:val="24"/>
        </w:rPr>
      </w:pPr>
    </w:p>
    <w:p w:rsidR="006F1298" w:rsidRPr="00BA1F6C" w:rsidP="00134556">
      <w:pPr>
        <w:rPr>
          <w:rFonts w:ascii="Arial" w:hAnsi="Arial" w:cs="Arial"/>
          <w:sz w:val="24"/>
          <w:szCs w:val="24"/>
        </w:rPr>
      </w:pPr>
    </w:p>
    <w:p w:rsidR="006F1298" w:rsidRPr="00BA1F6C" w:rsidP="00134556">
      <w:pPr>
        <w:rPr>
          <w:rFonts w:ascii="Arial" w:hAnsi="Arial" w:cs="Arial"/>
          <w:sz w:val="24"/>
          <w:szCs w:val="24"/>
        </w:rPr>
      </w:pPr>
    </w:p>
    <w:sectPr w:rsidSect="0052622E">
      <w:headerReference w:type="default" r:id="rId5"/>
      <w:footerReference w:type="default" r:id="rId6"/>
      <w:pgSz w:w="11907" w:h="16840" w:code="9"/>
      <w:pgMar w:top="1134" w:right="1134" w:bottom="851" w:left="1134" w:header="709" w:footer="567"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Print">
    <w:panose1 w:val="00000000000000000000"/>
    <w:charset w:val="00"/>
    <w:family w:val="auto"/>
    <w:pitch w:val="variable"/>
    <w:sig w:usb0="0000028F"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F9F" w:rsidRPr="00A57F9F">
    <w:pPr>
      <w:pStyle w:val="Footer"/>
      <w:jc w:val="center"/>
      <w:rPr>
        <w:rFonts w:ascii="Arial" w:hAnsi="Arial" w:cs="Arial"/>
        <w:sz w:val="20"/>
        <w:szCs w:val="20"/>
      </w:rPr>
    </w:pPr>
    <w:r w:rsidRPr="00A57F9F">
      <w:rPr>
        <w:rFonts w:ascii="Arial" w:hAnsi="Arial" w:cs="Arial"/>
        <w:sz w:val="20"/>
        <w:szCs w:val="20"/>
      </w:rPr>
      <w:t xml:space="preserve">Page </w:t>
    </w:r>
    <w:r w:rsidRPr="00A57F9F">
      <w:rPr>
        <w:rFonts w:ascii="Arial" w:hAnsi="Arial" w:cs="Arial"/>
        <w:b/>
        <w:sz w:val="20"/>
        <w:szCs w:val="20"/>
      </w:rPr>
      <w:fldChar w:fldCharType="begin"/>
    </w:r>
    <w:r w:rsidRPr="00A57F9F">
      <w:rPr>
        <w:rFonts w:ascii="Arial" w:hAnsi="Arial" w:cs="Arial"/>
        <w:b/>
        <w:sz w:val="20"/>
        <w:szCs w:val="20"/>
      </w:rPr>
      <w:instrText xml:space="preserve"> PAGE </w:instrText>
    </w:r>
    <w:r w:rsidRPr="00A57F9F">
      <w:rPr>
        <w:rFonts w:ascii="Arial" w:hAnsi="Arial" w:cs="Arial"/>
        <w:b/>
        <w:sz w:val="20"/>
        <w:szCs w:val="20"/>
      </w:rPr>
      <w:fldChar w:fldCharType="separate"/>
    </w:r>
    <w:r w:rsidR="00D14589">
      <w:rPr>
        <w:rFonts w:ascii="Arial" w:hAnsi="Arial" w:cs="Arial"/>
        <w:b/>
        <w:noProof/>
        <w:sz w:val="20"/>
        <w:szCs w:val="20"/>
      </w:rPr>
      <w:t>7</w:t>
    </w:r>
    <w:r w:rsidRPr="00A57F9F">
      <w:rPr>
        <w:rFonts w:ascii="Arial" w:hAnsi="Arial" w:cs="Arial"/>
        <w:b/>
        <w:sz w:val="20"/>
        <w:szCs w:val="20"/>
      </w:rPr>
      <w:fldChar w:fldCharType="end"/>
    </w:r>
    <w:r w:rsidRPr="00A57F9F">
      <w:rPr>
        <w:rFonts w:ascii="Arial" w:hAnsi="Arial" w:cs="Arial"/>
        <w:sz w:val="20"/>
        <w:szCs w:val="20"/>
      </w:rPr>
      <w:t xml:space="preserve"> of </w:t>
    </w:r>
    <w:r w:rsidRPr="00A57F9F">
      <w:rPr>
        <w:rFonts w:ascii="Arial" w:hAnsi="Arial" w:cs="Arial"/>
        <w:b/>
        <w:sz w:val="20"/>
        <w:szCs w:val="20"/>
      </w:rPr>
      <w:fldChar w:fldCharType="begin"/>
    </w:r>
    <w:r w:rsidRPr="00A57F9F">
      <w:rPr>
        <w:rFonts w:ascii="Arial" w:hAnsi="Arial" w:cs="Arial"/>
        <w:b/>
        <w:sz w:val="20"/>
        <w:szCs w:val="20"/>
      </w:rPr>
      <w:instrText xml:space="preserve"> NUMPAGES  </w:instrText>
    </w:r>
    <w:r w:rsidRPr="00A57F9F">
      <w:rPr>
        <w:rFonts w:ascii="Arial" w:hAnsi="Arial" w:cs="Arial"/>
        <w:b/>
        <w:sz w:val="20"/>
        <w:szCs w:val="20"/>
      </w:rPr>
      <w:fldChar w:fldCharType="separate"/>
    </w:r>
    <w:r w:rsidR="00D14589">
      <w:rPr>
        <w:rFonts w:ascii="Arial" w:hAnsi="Arial" w:cs="Arial"/>
        <w:b/>
        <w:noProof/>
        <w:sz w:val="20"/>
        <w:szCs w:val="20"/>
      </w:rPr>
      <w:t>7</w:t>
    </w:r>
    <w:r w:rsidRPr="00A57F9F">
      <w:rPr>
        <w:rFonts w:ascii="Arial" w:hAnsi="Arial" w:cs="Arial"/>
        <w:b/>
        <w:sz w:val="20"/>
        <w:szCs w:val="20"/>
      </w:rPr>
      <w:fldChar w:fldCharType="end"/>
    </w:r>
  </w:p>
  <w:p w:rsidR="00A57F9F">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7F0" w:rsidRPr="006F1298" w:rsidP="00A57F9F">
    <w:pPr>
      <w:pStyle w:val="Footer"/>
      <w:tabs>
        <w:tab w:val="clear" w:pos="4536"/>
        <w:tab w:val="clear" w:pos="9072"/>
        <w:tab w:val="right" w:pos="9639"/>
      </w:tabs>
      <w:jc w:val="right"/>
      <w:rPr>
        <w:rStyle w:val="PageNumber"/>
        <w:rFonts w:ascii="Arial" w:hAnsi="Arial" w:cs="Arial"/>
        <w:sz w:val="20"/>
        <w:szCs w:val="20"/>
        <w:lang w:val="en-US"/>
      </w:rPr>
    </w:pPr>
    <w:r w:rsidRPr="006F1298">
      <w:rPr>
        <w:rStyle w:val="PageNumber"/>
        <w:rFonts w:ascii="Arial" w:hAnsi="Arial" w:cs="Arial"/>
        <w:sz w:val="20"/>
        <w:szCs w:val="20"/>
        <w:lang w:val="en-US"/>
      </w:rPr>
      <w:t xml:space="preserve">Revised: </w:t>
    </w:r>
    <w:r w:rsidRPr="006F1298" w:rsidR="00134556">
      <w:rPr>
        <w:rStyle w:val="PageNumber"/>
        <w:rFonts w:ascii="Arial" w:hAnsi="Arial" w:cs="Arial"/>
        <w:sz w:val="20"/>
        <w:szCs w:val="20"/>
        <w:lang w:val="en-US"/>
      </w:rPr>
      <w:t>J</w:t>
    </w:r>
    <w:r w:rsidR="00BA1F6C">
      <w:rPr>
        <w:rStyle w:val="PageNumber"/>
        <w:rFonts w:ascii="Arial" w:hAnsi="Arial" w:cs="Arial"/>
        <w:sz w:val="20"/>
        <w:szCs w:val="20"/>
        <w:lang w:val="en-US"/>
      </w:rPr>
      <w:t>ul</w:t>
    </w:r>
    <w:r w:rsidRPr="006F1298" w:rsidR="00134556">
      <w:rPr>
        <w:rStyle w:val="PageNumber"/>
        <w:rFonts w:ascii="Arial" w:hAnsi="Arial" w:cs="Arial"/>
        <w:sz w:val="20"/>
        <w:szCs w:val="20"/>
        <w:lang w:val="en-US"/>
      </w:rPr>
      <w:t>y 201</w:t>
    </w:r>
    <w:r w:rsidR="00BA1F6C">
      <w:rPr>
        <w:rStyle w:val="PageNumber"/>
        <w:rFonts w:ascii="Arial" w:hAnsi="Arial" w:cs="Arial"/>
        <w:sz w:val="20"/>
        <w:szCs w:val="20"/>
        <w:lang w:val="en-US"/>
      </w:rPr>
      <w:t>7</w:t>
    </w:r>
  </w:p>
  <w:p w:rsidR="00A57F9F" w:rsidP="00A57F9F">
    <w:pPr>
      <w:pStyle w:val="Footer"/>
      <w:tabs>
        <w:tab w:val="clear" w:pos="4536"/>
        <w:tab w:val="clear" w:pos="9072"/>
        <w:tab w:val="right" w:pos="9639"/>
      </w:tabs>
      <w:jc w:val="right"/>
      <w:rPr>
        <w:rStyle w:val="PageNumber"/>
        <w:rFonts w:ascii="Arial" w:hAnsi="Arial" w:cs="Arial"/>
        <w:sz w:val="20"/>
        <w:szCs w:val="20"/>
        <w:lang w:val="en-US"/>
      </w:rPr>
    </w:pPr>
    <w:r w:rsidRPr="006F1298">
      <w:rPr>
        <w:rStyle w:val="PageNumber"/>
        <w:rFonts w:ascii="Arial" w:hAnsi="Arial" w:cs="Arial"/>
        <w:sz w:val="20"/>
        <w:szCs w:val="20"/>
        <w:lang w:val="en-US"/>
      </w:rPr>
      <w:t xml:space="preserve">AN: </w:t>
    </w:r>
    <w:r w:rsidRPr="006F1298" w:rsidR="00134556">
      <w:rPr>
        <w:rStyle w:val="PageNumber"/>
        <w:rFonts w:ascii="Arial" w:hAnsi="Arial" w:cs="Arial"/>
        <w:sz w:val="20"/>
        <w:szCs w:val="20"/>
        <w:lang w:val="en-US"/>
      </w:rPr>
      <w:t>0</w:t>
    </w:r>
    <w:r w:rsidR="00BA1F6C">
      <w:rPr>
        <w:rStyle w:val="PageNumber"/>
        <w:rFonts w:ascii="Arial" w:hAnsi="Arial" w:cs="Arial"/>
        <w:sz w:val="20"/>
        <w:szCs w:val="20"/>
        <w:lang w:val="en-US"/>
      </w:rPr>
      <w:t>1391</w:t>
    </w:r>
    <w:r w:rsidRPr="006F1298" w:rsidR="00134556">
      <w:rPr>
        <w:rStyle w:val="PageNumber"/>
        <w:rFonts w:ascii="Arial" w:hAnsi="Arial" w:cs="Arial"/>
        <w:sz w:val="20"/>
        <w:szCs w:val="20"/>
        <w:lang w:val="en-US"/>
      </w:rPr>
      <w:t>/201</w:t>
    </w:r>
    <w:r w:rsidR="00BA1F6C">
      <w:rPr>
        <w:rStyle w:val="PageNumber"/>
        <w:rFonts w:ascii="Arial" w:hAnsi="Arial" w:cs="Arial"/>
        <w:sz w:val="20"/>
        <w:szCs w:val="20"/>
        <w:lang w:val="en-US"/>
      </w:rPr>
      <w:t>6</w:t>
    </w:r>
  </w:p>
  <w:p w:rsidR="00D14589" w:rsidRPr="006F1298" w:rsidP="00A57F9F">
    <w:pPr>
      <w:pStyle w:val="Footer"/>
      <w:tabs>
        <w:tab w:val="clear" w:pos="4536"/>
        <w:tab w:val="clear" w:pos="9072"/>
        <w:tab w:val="right" w:pos="9639"/>
      </w:tabs>
      <w:jc w:val="right"/>
      <w:rPr>
        <w:rStyle w:val="PageNumber"/>
        <w:rFonts w:ascii="Arial" w:hAnsi="Arial" w:cs="Arial"/>
        <w:sz w:val="20"/>
        <w:szCs w:val="20"/>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multilevel"/>
    <w:tmpl w:val="FFFFFFFF"/>
    <w:lvl w:ilvl="0">
      <w:start w:val="0"/>
      <w:numFmt w:val="decimal"/>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8DB4FC6"/>
    <w:multiLevelType w:val="multilevel"/>
    <w:tmpl w:val="516023C2"/>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1928513A"/>
    <w:multiLevelType w:val="multilevel"/>
    <w:tmpl w:val="B7B2C34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995"/>
        </w:tabs>
        <w:ind w:left="995" w:hanging="570"/>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4840"/>
        </w:tabs>
        <w:ind w:left="4840" w:hanging="1440"/>
      </w:pPr>
      <w:rPr>
        <w:rFonts w:hint="default"/>
      </w:rPr>
    </w:lvl>
  </w:abstractNum>
  <w:abstractNum w:abstractNumId="3">
    <w:nsid w:val="2269509B"/>
    <w:multiLevelType w:val="hybridMultilevel"/>
    <w:tmpl w:val="864EDC5A"/>
    <w:lvl w:ilvl="0">
      <w:start w:val="6"/>
      <w:numFmt w:val="bullet"/>
      <w:lvlText w:val="-"/>
      <w:lvlJc w:val="left"/>
      <w:pPr>
        <w:tabs>
          <w:tab w:val="num" w:pos="1413"/>
        </w:tabs>
        <w:ind w:left="1413" w:hanging="420"/>
      </w:pPr>
      <w:rPr>
        <w:rFonts w:ascii="Times New Roman" w:eastAsia="Times New Roman" w:hAnsi="Times New Roman" w:hint="default"/>
      </w:rPr>
    </w:lvl>
    <w:lvl w:ilvl="1">
      <w:start w:val="1"/>
      <w:numFmt w:val="bullet"/>
      <w:lvlText w:val="o"/>
      <w:lvlJc w:val="left"/>
      <w:pPr>
        <w:tabs>
          <w:tab w:val="num" w:pos="2073"/>
        </w:tabs>
        <w:ind w:left="2073" w:hanging="360"/>
      </w:pPr>
      <w:rPr>
        <w:rFonts w:ascii="Courier New" w:hAnsi="Courier New" w:cs="Courier New" w:hint="default"/>
      </w:rPr>
    </w:lvl>
    <w:lvl w:ilvl="2">
      <w:start w:val="1"/>
      <w:numFmt w:val="bullet"/>
      <w:lvlText w:val=""/>
      <w:lvlJc w:val="left"/>
      <w:pPr>
        <w:tabs>
          <w:tab w:val="num" w:pos="2793"/>
        </w:tabs>
        <w:ind w:left="2793" w:hanging="360"/>
      </w:pPr>
      <w:rPr>
        <w:rFonts w:ascii="Times New Roman" w:hAnsi="Times New Roman" w:cs="Times New Roman" w:hint="default"/>
      </w:rPr>
    </w:lvl>
    <w:lvl w:ilvl="3">
      <w:start w:val="1"/>
      <w:numFmt w:val="bullet"/>
      <w:lvlText w:val=""/>
      <w:lvlJc w:val="left"/>
      <w:pPr>
        <w:tabs>
          <w:tab w:val="num" w:pos="3513"/>
        </w:tabs>
        <w:ind w:left="3513" w:hanging="360"/>
      </w:pPr>
      <w:rPr>
        <w:rFonts w:ascii="Times New Roman" w:hAnsi="Times New Roman" w:cs="Times New Roman" w:hint="default"/>
      </w:rPr>
    </w:lvl>
    <w:lvl w:ilvl="4">
      <w:start w:val="1"/>
      <w:numFmt w:val="bullet"/>
      <w:lvlText w:val="o"/>
      <w:lvlJc w:val="left"/>
      <w:pPr>
        <w:tabs>
          <w:tab w:val="num" w:pos="4233"/>
        </w:tabs>
        <w:ind w:left="4233" w:hanging="360"/>
      </w:pPr>
      <w:rPr>
        <w:rFonts w:ascii="Courier New" w:hAnsi="Courier New" w:cs="Courier New" w:hint="default"/>
      </w:rPr>
    </w:lvl>
    <w:lvl w:ilvl="5">
      <w:start w:val="1"/>
      <w:numFmt w:val="bullet"/>
      <w:lvlText w:val=""/>
      <w:lvlJc w:val="left"/>
      <w:pPr>
        <w:tabs>
          <w:tab w:val="num" w:pos="4953"/>
        </w:tabs>
        <w:ind w:left="4953" w:hanging="360"/>
      </w:pPr>
      <w:rPr>
        <w:rFonts w:ascii="Times New Roman" w:hAnsi="Times New Roman" w:cs="Times New Roman" w:hint="default"/>
      </w:rPr>
    </w:lvl>
    <w:lvl w:ilvl="6">
      <w:start w:val="1"/>
      <w:numFmt w:val="bullet"/>
      <w:lvlText w:val=""/>
      <w:lvlJc w:val="left"/>
      <w:pPr>
        <w:tabs>
          <w:tab w:val="num" w:pos="5673"/>
        </w:tabs>
        <w:ind w:left="5673" w:hanging="360"/>
      </w:pPr>
      <w:rPr>
        <w:rFonts w:ascii="Times New Roman" w:hAnsi="Times New Roman" w:cs="Times New Roman" w:hint="default"/>
      </w:rPr>
    </w:lvl>
    <w:lvl w:ilvl="7">
      <w:start w:val="1"/>
      <w:numFmt w:val="bullet"/>
      <w:lvlText w:val="o"/>
      <w:lvlJc w:val="left"/>
      <w:pPr>
        <w:tabs>
          <w:tab w:val="num" w:pos="6393"/>
        </w:tabs>
        <w:ind w:left="6393" w:hanging="360"/>
      </w:pPr>
      <w:rPr>
        <w:rFonts w:ascii="Courier New" w:hAnsi="Courier New" w:cs="Courier New" w:hint="default"/>
      </w:rPr>
    </w:lvl>
    <w:lvl w:ilvl="8">
      <w:start w:val="1"/>
      <w:numFmt w:val="bullet"/>
      <w:lvlText w:val=""/>
      <w:lvlJc w:val="left"/>
      <w:pPr>
        <w:tabs>
          <w:tab w:val="num" w:pos="7113"/>
        </w:tabs>
        <w:ind w:left="7113" w:hanging="360"/>
      </w:pPr>
      <w:rPr>
        <w:rFonts w:ascii="Times New Roman" w:hAnsi="Times New Roman" w:cs="Times New Roman" w:hint="default"/>
      </w:rPr>
    </w:lvl>
  </w:abstractNum>
  <w:abstractNum w:abstractNumId="4">
    <w:nsid w:val="34B67457"/>
    <w:multiLevelType w:val="multilevel"/>
    <w:tmpl w:val="E86E794C"/>
    <w:lvl w:ilvl="0">
      <w:start w:val="5"/>
      <w:numFmt w:val="decimal"/>
      <w:lvlText w:val="%1"/>
      <w:lvlJc w:val="left"/>
      <w:pPr>
        <w:tabs>
          <w:tab w:val="num" w:pos="570"/>
        </w:tabs>
        <w:ind w:left="570" w:hanging="570"/>
      </w:pPr>
      <w:rPr>
        <w:rFonts w:hint="default"/>
      </w:rPr>
    </w:lvl>
    <w:lvl w:ilvl="1">
      <w:start w:val="3"/>
      <w:numFmt w:val="decimal"/>
      <w:lvlText w:val="%1.%2"/>
      <w:lvlJc w:val="left"/>
      <w:pPr>
        <w:tabs>
          <w:tab w:val="num" w:pos="995"/>
        </w:tabs>
        <w:ind w:left="995" w:hanging="570"/>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4840"/>
        </w:tabs>
        <w:ind w:left="4840" w:hanging="1440"/>
      </w:pPr>
      <w:rPr>
        <w:rFonts w:hint="default"/>
      </w:rPr>
    </w:lvl>
  </w:abstractNum>
  <w:abstractNum w:abstractNumId="5">
    <w:nsid w:val="78EB167C"/>
    <w:multiLevelType w:val="hybridMultilevel"/>
    <w:tmpl w:val="5434B2BA"/>
    <w:lvl w:ilvl="0">
      <w:start w:val="0"/>
      <w:numFmt w:val="bullet"/>
      <w:lvlText w:val="-"/>
      <w:lvlJc w:val="left"/>
      <w:pPr>
        <w:tabs>
          <w:tab w:val="num" w:pos="1353"/>
        </w:tabs>
        <w:ind w:left="1353" w:hanging="360"/>
      </w:pPr>
      <w:rPr>
        <w:rFonts w:ascii="Times New Roman" w:eastAsia="Times New Roman" w:hAnsi="Times New Roman" w:hint="default"/>
        <w:i w:val="0"/>
        <w:iCs w:val="0"/>
      </w:rPr>
    </w:lvl>
    <w:lvl w:ilvl="1">
      <w:start w:val="1"/>
      <w:numFmt w:val="bullet"/>
      <w:lvlText w:val="o"/>
      <w:lvlJc w:val="left"/>
      <w:pPr>
        <w:tabs>
          <w:tab w:val="num" w:pos="2073"/>
        </w:tabs>
        <w:ind w:left="2073" w:hanging="360"/>
      </w:pPr>
      <w:rPr>
        <w:rFonts w:ascii="Courier New" w:hAnsi="Courier New" w:cs="Courier New" w:hint="default"/>
      </w:rPr>
    </w:lvl>
    <w:lvl w:ilvl="2">
      <w:start w:val="1"/>
      <w:numFmt w:val="bullet"/>
      <w:lvlText w:val=""/>
      <w:lvlJc w:val="left"/>
      <w:pPr>
        <w:tabs>
          <w:tab w:val="num" w:pos="2793"/>
        </w:tabs>
        <w:ind w:left="2793" w:hanging="360"/>
      </w:pPr>
      <w:rPr>
        <w:rFonts w:ascii="Times New Roman" w:hAnsi="Times New Roman" w:cs="Times New Roman" w:hint="default"/>
      </w:rPr>
    </w:lvl>
    <w:lvl w:ilvl="3">
      <w:start w:val="1"/>
      <w:numFmt w:val="bullet"/>
      <w:lvlText w:val=""/>
      <w:lvlJc w:val="left"/>
      <w:pPr>
        <w:tabs>
          <w:tab w:val="num" w:pos="3513"/>
        </w:tabs>
        <w:ind w:left="3513" w:hanging="360"/>
      </w:pPr>
      <w:rPr>
        <w:rFonts w:ascii="Times New Roman" w:hAnsi="Times New Roman" w:cs="Times New Roman" w:hint="default"/>
      </w:rPr>
    </w:lvl>
    <w:lvl w:ilvl="4">
      <w:start w:val="1"/>
      <w:numFmt w:val="bullet"/>
      <w:lvlText w:val="o"/>
      <w:lvlJc w:val="left"/>
      <w:pPr>
        <w:tabs>
          <w:tab w:val="num" w:pos="4233"/>
        </w:tabs>
        <w:ind w:left="4233" w:hanging="360"/>
      </w:pPr>
      <w:rPr>
        <w:rFonts w:ascii="Courier New" w:hAnsi="Courier New" w:cs="Courier New" w:hint="default"/>
      </w:rPr>
    </w:lvl>
    <w:lvl w:ilvl="5">
      <w:start w:val="1"/>
      <w:numFmt w:val="bullet"/>
      <w:lvlText w:val=""/>
      <w:lvlJc w:val="left"/>
      <w:pPr>
        <w:tabs>
          <w:tab w:val="num" w:pos="4953"/>
        </w:tabs>
        <w:ind w:left="4953" w:hanging="360"/>
      </w:pPr>
      <w:rPr>
        <w:rFonts w:ascii="Times New Roman" w:hAnsi="Times New Roman" w:cs="Times New Roman" w:hint="default"/>
      </w:rPr>
    </w:lvl>
    <w:lvl w:ilvl="6">
      <w:start w:val="1"/>
      <w:numFmt w:val="bullet"/>
      <w:lvlText w:val=""/>
      <w:lvlJc w:val="left"/>
      <w:pPr>
        <w:tabs>
          <w:tab w:val="num" w:pos="5673"/>
        </w:tabs>
        <w:ind w:left="5673" w:hanging="360"/>
      </w:pPr>
      <w:rPr>
        <w:rFonts w:ascii="Times New Roman" w:hAnsi="Times New Roman" w:cs="Times New Roman" w:hint="default"/>
      </w:rPr>
    </w:lvl>
    <w:lvl w:ilvl="7">
      <w:start w:val="1"/>
      <w:numFmt w:val="bullet"/>
      <w:lvlText w:val="o"/>
      <w:lvlJc w:val="left"/>
      <w:pPr>
        <w:tabs>
          <w:tab w:val="num" w:pos="6393"/>
        </w:tabs>
        <w:ind w:left="6393" w:hanging="360"/>
      </w:pPr>
      <w:rPr>
        <w:rFonts w:ascii="Courier New" w:hAnsi="Courier New" w:cs="Courier New" w:hint="default"/>
      </w:rPr>
    </w:lvl>
    <w:lvl w:ilvl="8">
      <w:start w:val="1"/>
      <w:numFmt w:val="bullet"/>
      <w:lvlText w:val=""/>
      <w:lvlJc w:val="left"/>
      <w:pPr>
        <w:tabs>
          <w:tab w:val="num" w:pos="7113"/>
        </w:tabs>
        <w:ind w:left="7113" w:hanging="360"/>
      </w:pPr>
      <w:rPr>
        <w:rFonts w:ascii="Times New Roman" w:hAnsi="Times New Roman" w:cs="Times New Roman" w:hint="default"/>
      </w:rPr>
    </w:lvl>
  </w:abstractNum>
  <w:num w:numId="1">
    <w:abstractNumId w:val="0"/>
    <w:lvlOverride w:ilvl="0">
      <w:lvl w:ilvl="0">
        <w:start w:val="1"/>
        <w:numFmt w:val="bullet"/>
        <w:lvlText w:val="-"/>
        <w:lvlJc w:val="left"/>
        <w:pPr>
          <w:ind w:left="360" w:hanging="360"/>
        </w:pPr>
      </w:lvl>
    </w:lvlOverride>
  </w:num>
  <w:num w:numId="2">
    <w:abstractNumId w:val="1"/>
  </w:num>
  <w:num w:numId="3">
    <w:abstractNumId w:val="3"/>
  </w:num>
  <w:num w:numId="4">
    <w:abstractNumId w:val="5"/>
  </w:num>
  <w:num w:numId="5">
    <w:abstractNumId w:val="2"/>
  </w:num>
  <w:num w:numId="6">
    <w:abstractNumId w:val="4"/>
  </w:num>
  <w:num w:numId="7">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doNotHyphenateCaps/>
  <w:displayHorizontalDrawingGridEvery w:val="0"/>
  <w:displayVerticalDrawingGridEvery w:val="0"/>
  <w:doNotUseMarginsForDrawingGridOrigin/>
  <w:drawingGridHorizontalOrigin w:val="1701"/>
  <w:drawingGridVerticalOrigin w:val="1984"/>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11E98"/>
    <w:rsid w:val="00013928"/>
    <w:rsid w:val="00013B85"/>
    <w:rsid w:val="00030FB7"/>
    <w:rsid w:val="00034C81"/>
    <w:rsid w:val="00041285"/>
    <w:rsid w:val="0004636E"/>
    <w:rsid w:val="0005230E"/>
    <w:rsid w:val="00053097"/>
    <w:rsid w:val="00082C32"/>
    <w:rsid w:val="0008315A"/>
    <w:rsid w:val="000838B6"/>
    <w:rsid w:val="00091139"/>
    <w:rsid w:val="000A37ED"/>
    <w:rsid w:val="000A77D4"/>
    <w:rsid w:val="000B46DD"/>
    <w:rsid w:val="000C700D"/>
    <w:rsid w:val="000F319C"/>
    <w:rsid w:val="000F4194"/>
    <w:rsid w:val="001042AA"/>
    <w:rsid w:val="0010637B"/>
    <w:rsid w:val="001110F3"/>
    <w:rsid w:val="001165A4"/>
    <w:rsid w:val="001326F6"/>
    <w:rsid w:val="00134556"/>
    <w:rsid w:val="00157978"/>
    <w:rsid w:val="001651BF"/>
    <w:rsid w:val="00171486"/>
    <w:rsid w:val="0017241A"/>
    <w:rsid w:val="00187204"/>
    <w:rsid w:val="00193B10"/>
    <w:rsid w:val="001B419D"/>
    <w:rsid w:val="001B6FB1"/>
    <w:rsid w:val="001B7773"/>
    <w:rsid w:val="001C035B"/>
    <w:rsid w:val="001C0DCE"/>
    <w:rsid w:val="001C49D6"/>
    <w:rsid w:val="001C69BE"/>
    <w:rsid w:val="001C6B96"/>
    <w:rsid w:val="001D0470"/>
    <w:rsid w:val="001D23AD"/>
    <w:rsid w:val="001F5493"/>
    <w:rsid w:val="00206BD8"/>
    <w:rsid w:val="002202D4"/>
    <w:rsid w:val="00225825"/>
    <w:rsid w:val="00235E96"/>
    <w:rsid w:val="00245B5D"/>
    <w:rsid w:val="00253706"/>
    <w:rsid w:val="002578EE"/>
    <w:rsid w:val="002702BD"/>
    <w:rsid w:val="00270AA2"/>
    <w:rsid w:val="00294BAA"/>
    <w:rsid w:val="002B0580"/>
    <w:rsid w:val="002B08DB"/>
    <w:rsid w:val="002D1103"/>
    <w:rsid w:val="002E10CF"/>
    <w:rsid w:val="002E3044"/>
    <w:rsid w:val="0030699C"/>
    <w:rsid w:val="00310F0A"/>
    <w:rsid w:val="00332F8C"/>
    <w:rsid w:val="0034101F"/>
    <w:rsid w:val="0034633A"/>
    <w:rsid w:val="003619C7"/>
    <w:rsid w:val="00375893"/>
    <w:rsid w:val="00375D46"/>
    <w:rsid w:val="00376A64"/>
    <w:rsid w:val="003B4F2B"/>
    <w:rsid w:val="003C33AA"/>
    <w:rsid w:val="003E47F0"/>
    <w:rsid w:val="003E6119"/>
    <w:rsid w:val="0040341E"/>
    <w:rsid w:val="0041600E"/>
    <w:rsid w:val="00426F32"/>
    <w:rsid w:val="004349FC"/>
    <w:rsid w:val="00434A8E"/>
    <w:rsid w:val="00434D86"/>
    <w:rsid w:val="00436241"/>
    <w:rsid w:val="00445093"/>
    <w:rsid w:val="004537B9"/>
    <w:rsid w:val="00461945"/>
    <w:rsid w:val="00462C44"/>
    <w:rsid w:val="00475469"/>
    <w:rsid w:val="0048617C"/>
    <w:rsid w:val="004B1EBB"/>
    <w:rsid w:val="004B2624"/>
    <w:rsid w:val="004C694F"/>
    <w:rsid w:val="004D0C3A"/>
    <w:rsid w:val="004E6785"/>
    <w:rsid w:val="004F2DE4"/>
    <w:rsid w:val="004F78DF"/>
    <w:rsid w:val="0050076D"/>
    <w:rsid w:val="0052152A"/>
    <w:rsid w:val="0052622E"/>
    <w:rsid w:val="00532C4D"/>
    <w:rsid w:val="00541C16"/>
    <w:rsid w:val="005C6761"/>
    <w:rsid w:val="005C754D"/>
    <w:rsid w:val="005D323F"/>
    <w:rsid w:val="005E7970"/>
    <w:rsid w:val="005F5483"/>
    <w:rsid w:val="00610E9A"/>
    <w:rsid w:val="006171A2"/>
    <w:rsid w:val="00636595"/>
    <w:rsid w:val="00637161"/>
    <w:rsid w:val="006619E2"/>
    <w:rsid w:val="00674E34"/>
    <w:rsid w:val="006774DC"/>
    <w:rsid w:val="006A7EF6"/>
    <w:rsid w:val="006B49DC"/>
    <w:rsid w:val="006C40FA"/>
    <w:rsid w:val="006C6FDD"/>
    <w:rsid w:val="006D769A"/>
    <w:rsid w:val="006E3824"/>
    <w:rsid w:val="006F1298"/>
    <w:rsid w:val="006F49FF"/>
    <w:rsid w:val="007001C9"/>
    <w:rsid w:val="00704239"/>
    <w:rsid w:val="007045C6"/>
    <w:rsid w:val="00705B3A"/>
    <w:rsid w:val="0071095C"/>
    <w:rsid w:val="00716996"/>
    <w:rsid w:val="0073141D"/>
    <w:rsid w:val="00731E55"/>
    <w:rsid w:val="00736F1C"/>
    <w:rsid w:val="00767EEE"/>
    <w:rsid w:val="00796E90"/>
    <w:rsid w:val="007A1E3A"/>
    <w:rsid w:val="007D125D"/>
    <w:rsid w:val="007D28A1"/>
    <w:rsid w:val="007E5B6A"/>
    <w:rsid w:val="00804B96"/>
    <w:rsid w:val="00831E0A"/>
    <w:rsid w:val="00833168"/>
    <w:rsid w:val="0083416D"/>
    <w:rsid w:val="00840C59"/>
    <w:rsid w:val="00847FA5"/>
    <w:rsid w:val="00852CB1"/>
    <w:rsid w:val="00871E09"/>
    <w:rsid w:val="00883221"/>
    <w:rsid w:val="00892637"/>
    <w:rsid w:val="008A16FC"/>
    <w:rsid w:val="008A2D8D"/>
    <w:rsid w:val="008A6F39"/>
    <w:rsid w:val="008C0480"/>
    <w:rsid w:val="008C63AA"/>
    <w:rsid w:val="008D250C"/>
    <w:rsid w:val="008D5B98"/>
    <w:rsid w:val="009008B7"/>
    <w:rsid w:val="00912DD0"/>
    <w:rsid w:val="009404AE"/>
    <w:rsid w:val="00950D64"/>
    <w:rsid w:val="00963167"/>
    <w:rsid w:val="00964B61"/>
    <w:rsid w:val="00971015"/>
    <w:rsid w:val="009A7B9F"/>
    <w:rsid w:val="009B5F98"/>
    <w:rsid w:val="009F3DE5"/>
    <w:rsid w:val="009F4CE4"/>
    <w:rsid w:val="00A051A0"/>
    <w:rsid w:val="00A204E4"/>
    <w:rsid w:val="00A214A0"/>
    <w:rsid w:val="00A458FC"/>
    <w:rsid w:val="00A51ED1"/>
    <w:rsid w:val="00A554B2"/>
    <w:rsid w:val="00A57F9F"/>
    <w:rsid w:val="00A9276A"/>
    <w:rsid w:val="00AB5E06"/>
    <w:rsid w:val="00AE158A"/>
    <w:rsid w:val="00AE15E0"/>
    <w:rsid w:val="00AE7E53"/>
    <w:rsid w:val="00AF7703"/>
    <w:rsid w:val="00B02F37"/>
    <w:rsid w:val="00B1016F"/>
    <w:rsid w:val="00B221A7"/>
    <w:rsid w:val="00B408FB"/>
    <w:rsid w:val="00B52A18"/>
    <w:rsid w:val="00B52B76"/>
    <w:rsid w:val="00B75D33"/>
    <w:rsid w:val="00B75D9D"/>
    <w:rsid w:val="00B8411A"/>
    <w:rsid w:val="00B94DCF"/>
    <w:rsid w:val="00BA1ADE"/>
    <w:rsid w:val="00BA1F6C"/>
    <w:rsid w:val="00BA57AD"/>
    <w:rsid w:val="00BB00A8"/>
    <w:rsid w:val="00BC3515"/>
    <w:rsid w:val="00BE7FC3"/>
    <w:rsid w:val="00BF7875"/>
    <w:rsid w:val="00C060DD"/>
    <w:rsid w:val="00C13136"/>
    <w:rsid w:val="00C34AF3"/>
    <w:rsid w:val="00C47D91"/>
    <w:rsid w:val="00C66A94"/>
    <w:rsid w:val="00C72AD9"/>
    <w:rsid w:val="00C750CC"/>
    <w:rsid w:val="00C75FD2"/>
    <w:rsid w:val="00C8183D"/>
    <w:rsid w:val="00CB3095"/>
    <w:rsid w:val="00CB345C"/>
    <w:rsid w:val="00CD6C3C"/>
    <w:rsid w:val="00CD7FFB"/>
    <w:rsid w:val="00CF1878"/>
    <w:rsid w:val="00D01EBC"/>
    <w:rsid w:val="00D026FF"/>
    <w:rsid w:val="00D05253"/>
    <w:rsid w:val="00D06256"/>
    <w:rsid w:val="00D07264"/>
    <w:rsid w:val="00D14589"/>
    <w:rsid w:val="00D2212B"/>
    <w:rsid w:val="00D36C82"/>
    <w:rsid w:val="00D646F0"/>
    <w:rsid w:val="00D65975"/>
    <w:rsid w:val="00D75BE1"/>
    <w:rsid w:val="00D86E18"/>
    <w:rsid w:val="00D87717"/>
    <w:rsid w:val="00DA53EC"/>
    <w:rsid w:val="00DD146E"/>
    <w:rsid w:val="00DD6909"/>
    <w:rsid w:val="00DF21A9"/>
    <w:rsid w:val="00E11E98"/>
    <w:rsid w:val="00E277A5"/>
    <w:rsid w:val="00E3176F"/>
    <w:rsid w:val="00E81FBC"/>
    <w:rsid w:val="00E84D29"/>
    <w:rsid w:val="00EB0C91"/>
    <w:rsid w:val="00EB3960"/>
    <w:rsid w:val="00EC093F"/>
    <w:rsid w:val="00EC5DAC"/>
    <w:rsid w:val="00ED336B"/>
    <w:rsid w:val="00EF0A96"/>
    <w:rsid w:val="00F151CF"/>
    <w:rsid w:val="00F16007"/>
    <w:rsid w:val="00F16DDB"/>
    <w:rsid w:val="00F238C6"/>
    <w:rsid w:val="00F355BA"/>
    <w:rsid w:val="00F43DE7"/>
    <w:rsid w:val="00F503A2"/>
    <w:rsid w:val="00F60276"/>
    <w:rsid w:val="00F83064"/>
    <w:rsid w:val="00F941B6"/>
    <w:rsid w:val="00F953E4"/>
    <w:rsid w:val="00FC0056"/>
    <w:rsid w:val="00FE0280"/>
    <w:rsid w:val="00FE5661"/>
    <w:rsid w:val="00FE5BE5"/>
    <w:rsid w:val="00FE7779"/>
    <w:rsid w:val="00FF6E07"/>
  </w:rsids>
  <w:docVars>
    <w:docVar w:name="WfBmTagged" w:val="0"/>
    <w:docVar w:name="WfJumps" w:val="no"/>
    <w:docVar w:name="WfLastSegment" w:val=" 12193"/>
    <w:docVar w:name="WfRevTM" w:val="C:\Documents and Settings\user\My Documents\111VERTAALKANTOOR OPDRAGTE\WILKENS c.s\#20061457 Mirka 13Apr2006\VETERINARY WfMemory.txt"/>
    <w:docVar w:name="WfStyleNames" w:val=",1 / 1.1 / 1.1.1,1 / a / i,Article / Section,Balloon Text,Block Text,Body Text,Body Text 2,Body Text 3,Body Text First Indent,Body Text First Indent 2,Body Text Indent,Body Text Indent 2,Body Text Indent 3,Caption,Closing,Comment Reference,Comment Subject,Comment Text,Date,Default Paragraph Font,Document Map,E-mail Signature,Emphasis,Endnote Reference,Endnote Text,Envelope Address,Envelope Return,FollowedHyperlink,Footer,Footnote Reference,Footnote Text,Header,Heading 1,Heading 2,Heading 3,Heading 4,Heading 5,Heading 6,Heading 7,Heading 8,Heading 9,HTML Acronym,HTML Address,HTML Cite,HTML Code,HTML Definition,HTML Keyboard,HTML Preformatted,HTML Sample,HTML Typewriter,HTML Variable,Hyperlink,Index 1,Index 2,Index 3,Index 4,Index 5,Index 6,Index 7,Index 8,Index 9,Index Heading,Line Number,List,List 2,List 3,List 4,List 5,List Bullet,List Bullet 2,List Bullet 3,List Bullet 4,List Bullet 5,List Continue,List Continue 2,List Continue 3,List Continue 4,List Continue 5,List Number,List Number 2,List Number 3,List Number 4,List Number 5,Macro Text,Message Header,No List,Normal,Normal (Web),Normal Indent,Note Heading,Page Number,Plain Text,Salutation,Signature,Strong,Subtitle,Table 3D effects 1,Table 3D effects 2,Table 3D effects 3,Table Classic 1,Table Classic 2,Table Classic 3,Table Classic 4,Table Colorful 1,Table Colorful 2,Table Colorful 3,Table Columns 1,Table Columns 2,Table Columns 3,Table Columns 4,Table Columns 5,Table Contemporary,Table Elegant,Table Grid,Table Grid 1,Table Grid 2,Table Grid 3,Table Grid 4,Table Grid 5,Table Grid 6,Table Grid 7,Table Grid 8,Table List 1,Table List 2,Table List 3,Table List 4,Table List 5,Table List 6,Table List 7,Table List 8,Table Normal,Table of Authorities,Table of Figures,Table Professional,Table Simple 1,Table Simple 2,Table Simple 3,Table Subtle 1,Table Subtle 2,Table Theme,Table Web 1,Table Web 2,Table Web 3,Title,TOA Heading,TOC 1,TOC 2,TOC 3,TOC 4,TOC 5,TOC 6,TOC 7,TOC 8,TOC 9,tw4winMark,"/>
    <w:docVar w:name="WfStyles" w:val="155"/>
    <w:docVar w:name="WfTags" w:val="no00"/>
  </w:docVar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60" w:lineRule="atLeast"/>
    </w:pPr>
    <w:rPr>
      <w:snapToGrid w:val="0"/>
      <w:kern w:val="14"/>
      <w:sz w:val="22"/>
      <w:szCs w:val="22"/>
      <w:lang w:val="nl-NL" w:eastAsia="nl-NL" w:bidi="ar-SA"/>
    </w:rPr>
  </w:style>
  <w:style w:type="paragraph" w:styleId="Heading1">
    <w:name w:val="heading 1"/>
    <w:basedOn w:val="Normal"/>
    <w:next w:val="Normal"/>
    <w:qFormat/>
    <w:pPr>
      <w:keepNext/>
      <w:keepLines/>
      <w:spacing w:before="520" w:after="260" w:line="340" w:lineRule="atLeast"/>
      <w:outlineLvl w:val="0"/>
    </w:pPr>
    <w:rPr>
      <w:b/>
      <w:bCs/>
      <w:kern w:val="24"/>
      <w:sz w:val="34"/>
      <w:szCs w:val="34"/>
    </w:rPr>
  </w:style>
  <w:style w:type="paragraph" w:styleId="Heading2">
    <w:name w:val="heading 2"/>
    <w:basedOn w:val="Heading1"/>
    <w:next w:val="Normal"/>
    <w:qFormat/>
    <w:pPr>
      <w:spacing w:before="260" w:after="0" w:line="260" w:lineRule="atLeast"/>
      <w:outlineLvl w:val="1"/>
    </w:pPr>
    <w:rPr>
      <w:kern w:val="20"/>
      <w:sz w:val="26"/>
      <w:szCs w:val="26"/>
    </w:rPr>
  </w:style>
  <w:style w:type="paragraph" w:styleId="Heading3">
    <w:name w:val="heading 3"/>
    <w:basedOn w:val="Heading2"/>
    <w:next w:val="Normal"/>
    <w:qFormat/>
    <w:pPr>
      <w:outlineLvl w:val="2"/>
    </w:pPr>
    <w:rPr>
      <w:kern w:val="16"/>
      <w:sz w:val="20"/>
      <w:szCs w:val="20"/>
    </w:rPr>
  </w:style>
  <w:style w:type="paragraph" w:styleId="Heading4">
    <w:name w:val="heading 4"/>
    <w:basedOn w:val="Normal"/>
    <w:next w:val="Normal"/>
    <w:qFormat/>
    <w:pPr>
      <w:keepNext/>
      <w:keepLines/>
      <w:spacing w:before="260"/>
      <w:outlineLvl w:val="3"/>
    </w:pPr>
    <w:rPr>
      <w:b/>
      <w:bCs/>
      <w:i/>
      <w:iCs/>
      <w:kern w:val="16"/>
    </w:rPr>
  </w:style>
  <w:style w:type="paragraph" w:styleId="Heading5">
    <w:name w:val="heading 5"/>
    <w:basedOn w:val="Normal"/>
    <w:next w:val="Normal"/>
    <w:qFormat/>
    <w:pPr>
      <w:keepNext/>
      <w:spacing w:line="240" w:lineRule="auto"/>
      <w:outlineLvl w:val="4"/>
    </w:pPr>
    <w:rPr>
      <w:b/>
      <w:bCs/>
    </w:rPr>
  </w:style>
  <w:style w:type="paragraph" w:styleId="Heading6">
    <w:name w:val="heading 6"/>
    <w:basedOn w:val="Normal"/>
    <w:next w:val="Normal"/>
    <w:qFormat/>
    <w:pPr>
      <w:keepNext/>
      <w:ind w:left="993"/>
      <w:outlineLvl w:val="5"/>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MessageHeader">
    <w:name w:val="Message Header"/>
    <w:basedOn w:val="Normal"/>
    <w:pPr>
      <w:spacing w:before="120"/>
    </w:pPr>
    <w:rPr>
      <w:b/>
      <w:bCs/>
      <w:sz w:val="24"/>
      <w:szCs w:val="24"/>
    </w:rPr>
  </w:style>
  <w:style w:type="paragraph" w:styleId="TOAHeading">
    <w:name w:val="toa heading"/>
    <w:basedOn w:val="Normal"/>
    <w:next w:val="Normal"/>
    <w:semiHidden/>
    <w:pPr>
      <w:spacing w:before="120"/>
    </w:pPr>
    <w:rPr>
      <w:b/>
      <w:bCs/>
      <w:sz w:val="24"/>
      <w:szCs w:val="24"/>
    </w:rPr>
  </w:style>
  <w:style w:type="paragraph" w:styleId="Header">
    <w:name w:val="header"/>
    <w:basedOn w:val="Normal"/>
    <w:pPr>
      <w:keepLines/>
      <w:widowControl w:val="0"/>
      <w:tabs>
        <w:tab w:val="center" w:pos="4536"/>
        <w:tab w:val="right" w:pos="9072"/>
      </w:tabs>
      <w:spacing w:line="220" w:lineRule="atLeast"/>
    </w:pPr>
    <w:rPr>
      <w:kern w:val="12"/>
      <w:sz w:val="16"/>
      <w:szCs w:val="16"/>
    </w:rPr>
  </w:style>
  <w:style w:type="paragraph" w:styleId="Macro">
    <w:name w:val="macro"/>
    <w:semiHidden/>
    <w:pPr>
      <w:widowControl w:val="0"/>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 w:val="left" w:pos="6804"/>
        <w:tab w:val="left" w:pos="7031"/>
        <w:tab w:val="left" w:pos="7258"/>
        <w:tab w:val="left" w:pos="7484"/>
        <w:tab w:val="left" w:pos="7711"/>
        <w:tab w:val="left" w:pos="7938"/>
      </w:tabs>
      <w:suppressAutoHyphens/>
    </w:pPr>
    <w:rPr>
      <w:rFonts w:ascii="Courier New" w:hAnsi="Courier New" w:cs="Courier New"/>
      <w:noProof/>
      <w:snapToGrid w:val="0"/>
      <w:sz w:val="16"/>
      <w:szCs w:val="16"/>
      <w:lang w:val="nl-NL" w:eastAsia="nl-NL" w:bidi="ar-SA"/>
    </w:rPr>
  </w:style>
  <w:style w:type="paragraph" w:styleId="NormalIndent">
    <w:name w:val="Normal Indent"/>
    <w:basedOn w:val="Normal"/>
    <w:pPr>
      <w:ind w:left="708"/>
    </w:pPr>
  </w:style>
  <w:style w:type="paragraph" w:styleId="Subtitle">
    <w:name w:val="Subtitle"/>
    <w:basedOn w:val="Normal"/>
    <w:qFormat/>
    <w:pPr>
      <w:spacing w:after="60"/>
      <w:jc w:val="center"/>
    </w:pPr>
    <w:rPr>
      <w:i/>
      <w:iCs/>
      <w:sz w:val="24"/>
      <w:szCs w:val="24"/>
    </w:rPr>
  </w:style>
  <w:style w:type="paragraph" w:styleId="Title">
    <w:name w:val="Title"/>
    <w:basedOn w:val="Normal"/>
    <w:qFormat/>
    <w:pPr>
      <w:spacing w:before="240" w:after="60"/>
      <w:jc w:val="center"/>
    </w:pPr>
    <w:rPr>
      <w:b/>
      <w:bCs/>
      <w:kern w:val="28"/>
      <w:sz w:val="32"/>
      <w:szCs w:val="32"/>
    </w:rPr>
  </w:style>
  <w:style w:type="paragraph" w:styleId="Footer">
    <w:name w:val="footer"/>
    <w:basedOn w:val="Header"/>
    <w:link w:val="FooterChar"/>
    <w:uiPriority w:val="99"/>
  </w:style>
  <w:style w:type="character" w:styleId="PageNumber">
    <w:name w:val="page number"/>
    <w:basedOn w:val="DefaultParagraphFont"/>
  </w:style>
  <w:style w:type="paragraph" w:styleId="BodyTextIndent">
    <w:name w:val="Body Text Indent"/>
    <w:basedOn w:val="Normal"/>
    <w:pPr>
      <w:ind w:left="993"/>
    </w:pPr>
  </w:style>
  <w:style w:type="character" w:styleId="Hyperlink">
    <w:name w:val="Hyperlink"/>
    <w:rPr>
      <w:color w:val="0000FF"/>
      <w:u w:val="single"/>
    </w:rPr>
  </w:style>
  <w:style w:type="paragraph" w:styleId="BalloonText">
    <w:name w:val="Balloon Text"/>
    <w:basedOn w:val="Normal"/>
    <w:semiHidden/>
    <w:rPr>
      <w:sz w:val="16"/>
      <w:szCs w:val="16"/>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character" w:styleId="FollowedHyperlink">
    <w:name w:val="FollowedHyperlink"/>
    <w:rPr>
      <w:color w:val="800080"/>
      <w:u w:val="single"/>
    </w:rPr>
  </w:style>
  <w:style w:type="paragraph" w:styleId="FootnoteText">
    <w:name w:val="footnote text"/>
    <w:basedOn w:val="Normal"/>
    <w:semiHidden/>
    <w:rsid w:val="00831E0A"/>
    <w:rPr>
      <w:sz w:val="20"/>
      <w:szCs w:val="20"/>
    </w:rPr>
  </w:style>
  <w:style w:type="character" w:styleId="FootnoteReference">
    <w:name w:val="footnote reference"/>
    <w:semiHidden/>
    <w:rsid w:val="00831E0A"/>
    <w:rPr>
      <w:vertAlign w:val="superscript"/>
    </w:rPr>
  </w:style>
  <w:style w:type="paragraph" w:styleId="HTMLPreformatted">
    <w:name w:val="HTML Preformatted"/>
    <w:basedOn w:val="Normal"/>
    <w:rsid w:val="00D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napToGrid/>
      <w:kern w:val="0"/>
      <w:sz w:val="20"/>
      <w:szCs w:val="20"/>
      <w:lang w:val="pl-PL" w:eastAsia="pl-PL"/>
    </w:rPr>
  </w:style>
  <w:style w:type="character" w:styleId="CommentReference">
    <w:name w:val="annotation reference"/>
    <w:semiHidden/>
    <w:rsid w:val="00CB3095"/>
    <w:rPr>
      <w:sz w:val="16"/>
      <w:szCs w:val="16"/>
    </w:rPr>
  </w:style>
  <w:style w:type="paragraph" w:styleId="CommentText">
    <w:name w:val="annotation text"/>
    <w:basedOn w:val="Normal"/>
    <w:semiHidden/>
    <w:rsid w:val="00CB3095"/>
    <w:rPr>
      <w:sz w:val="20"/>
      <w:szCs w:val="20"/>
    </w:rPr>
  </w:style>
  <w:style w:type="paragraph" w:styleId="CommentSubject">
    <w:name w:val="annotation subject"/>
    <w:basedOn w:val="CommentText"/>
    <w:next w:val="CommentText"/>
    <w:semiHidden/>
    <w:rsid w:val="00CB3095"/>
    <w:rPr>
      <w:b/>
      <w:bCs/>
    </w:rPr>
  </w:style>
  <w:style w:type="character" w:customStyle="1" w:styleId="FooterChar">
    <w:name w:val="Footer Char"/>
    <w:link w:val="Footer"/>
    <w:uiPriority w:val="99"/>
    <w:rsid w:val="00A57F9F"/>
    <w:rPr>
      <w:snapToGrid w:val="0"/>
      <w:kern w:val="12"/>
      <w:sz w:val="16"/>
      <w:szCs w:val="16"/>
      <w:lang w:val="nl-NL" w:eastAsia="nl-NL"/>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numbering" Target="numbering.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